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Style w:val="TableGrid"/>
        <w:tblW w:w="8670" w:type="dxa"/>
        <w:tblLook w:val="04A0" w:firstRow="1" w:lastRow="0" w:firstColumn="1" w:lastColumn="0" w:noHBand="0" w:noVBand="1"/>
      </w:tblPr>
      <w:tblGrid>
        <w:gridCol w:w="4823"/>
        <w:gridCol w:w="3847"/>
      </w:tblGrid>
      <w:tr w:rsidR="006E59B7" w:rsidRPr="006E59B7" w14:paraId="125E1183" w14:textId="77777777" w:rsidTr="006E59B7">
        <w:trPr>
          <w:trHeight w:val="31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446711E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A7D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5AD3DC1A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DD28B0F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854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59403784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CAFA645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9DB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1FA1A0DC" w14:textId="77777777" w:rsidTr="006E59B7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9E9E72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692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241BF0E2" w14:textId="77777777" w:rsidTr="006E59B7">
        <w:trPr>
          <w:trHeight w:val="3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A4C807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F8C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9B7" w:rsidRPr="006E59B7" w14:paraId="44A567A5" w14:textId="77777777" w:rsidTr="006E59B7">
        <w:trPr>
          <w:trHeight w:val="3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F4CB77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59B7">
              <w:rPr>
                <w:rFonts w:ascii="Times New Roman" w:hAnsi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B5D" w14:textId="77777777" w:rsidR="006E59B7" w:rsidRPr="006E59B7" w:rsidRDefault="006E59B7" w:rsidP="006E59B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4645C9D" w14:textId="0F68A20A" w:rsidR="00322DB7" w:rsidRPr="00802C5C" w:rsidRDefault="00551881" w:rsidP="00322D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Vizualizācijas</w:t>
      </w:r>
      <w:proofErr w:type="spellEnd"/>
      <w:r w:rsidR="00322DB7" w:rsidRPr="00F229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pakalpojuma veikšana Plauži, Ķeipenes pag., Ogres nov.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154"/>
        <w:gridCol w:w="3476"/>
      </w:tblGrid>
      <w:tr w:rsidR="002035F0" w:rsidRPr="002035F0" w14:paraId="7686E16D" w14:textId="77777777" w:rsidTr="006E59B7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5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7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322DB7" w:rsidRPr="002035F0" w14:paraId="06C5447A" w14:textId="77777777" w:rsidTr="006E59B7">
        <w:tc>
          <w:tcPr>
            <w:tcW w:w="666" w:type="dxa"/>
          </w:tcPr>
          <w:p w14:paraId="6EC934A4" w14:textId="7211B8FC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7F560C7" w14:textId="29471FB8" w:rsidR="00322DB7" w:rsidRPr="00922CE3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Sniegt </w:t>
            </w:r>
            <w:proofErr w:type="spellStart"/>
            <w:r w:rsidR="00465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vizualizācijas</w:t>
            </w:r>
            <w:proofErr w:type="spellEnd"/>
            <w:r w:rsidR="00465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izstrādes</w:t>
            </w:r>
            <w:r w:rsidRPr="00C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pakalpojumu, nodot </w:t>
            </w:r>
            <w:r w:rsidR="00465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izstrādātās </w:t>
            </w:r>
            <w:proofErr w:type="spellStart"/>
            <w:r w:rsidR="004654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vizualizācijas</w:t>
            </w:r>
            <w:proofErr w:type="spellEnd"/>
            <w:r w:rsidRPr="00C70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par zemes vienību Plauži, Ķeipenes pag., Ogres nov. kadastra nr. 74560060583.</w:t>
            </w:r>
            <w:r w:rsidR="005767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(būvniecības iecere pievienota pielikumā nr.1)</w:t>
            </w:r>
          </w:p>
        </w:tc>
        <w:tc>
          <w:tcPr>
            <w:tcW w:w="3476" w:type="dxa"/>
          </w:tcPr>
          <w:p w14:paraId="5B8E8D08" w14:textId="77777777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1C1CE085" w14:textId="77777777" w:rsidTr="006E59B7">
        <w:tc>
          <w:tcPr>
            <w:tcW w:w="666" w:type="dxa"/>
          </w:tcPr>
          <w:p w14:paraId="36538FF7" w14:textId="2CF28CD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EC6C7A7" w14:textId="2855323C" w:rsidR="00322DB7" w:rsidRPr="00EF02A9" w:rsidRDefault="00094309" w:rsidP="00094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430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Darbu izpildi nodrošina un materiālus paraksta speciālisti ar patstāvīgas prakses tiesībām (sertifikātu) arhitektūras, teritorijas plānošanas vai projektēšanas jomā.</w:t>
            </w:r>
          </w:p>
        </w:tc>
        <w:tc>
          <w:tcPr>
            <w:tcW w:w="3476" w:type="dxa"/>
          </w:tcPr>
          <w:p w14:paraId="6AE63219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42CEF9DE" w14:textId="77777777" w:rsidTr="006E59B7">
        <w:tc>
          <w:tcPr>
            <w:tcW w:w="666" w:type="dxa"/>
          </w:tcPr>
          <w:p w14:paraId="0095991B" w14:textId="7011E028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061F4467" w14:textId="6C6A8B17" w:rsidR="00322DB7" w:rsidRPr="00EF02A9" w:rsidRDefault="00E85586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5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Objekta apsekošana klātienē, </w:t>
            </w:r>
            <w:proofErr w:type="spellStart"/>
            <w:r w:rsidRPr="00E85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fotofiksācija</w:t>
            </w:r>
            <w:proofErr w:type="spellEnd"/>
            <w:r w:rsidRPr="00E85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</w:t>
            </w:r>
            <w:proofErr w:type="spellStart"/>
            <w:r w:rsidRPr="00E85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dronu</w:t>
            </w:r>
            <w:proofErr w:type="spellEnd"/>
            <w:r w:rsidRPr="00E85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(augstas izšķirtspējas foto).</w:t>
            </w:r>
          </w:p>
        </w:tc>
        <w:tc>
          <w:tcPr>
            <w:tcW w:w="3476" w:type="dxa"/>
          </w:tcPr>
          <w:p w14:paraId="788FE19B" w14:textId="4F9CC10D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5E398616" w14:textId="77777777" w:rsidTr="006E59B7">
        <w:tc>
          <w:tcPr>
            <w:tcW w:w="666" w:type="dxa"/>
          </w:tcPr>
          <w:p w14:paraId="113C3E32" w14:textId="78D14661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770CF11C" w14:textId="77777777" w:rsidR="00322DB7" w:rsidRDefault="00094309" w:rsidP="00094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Jāizstrādā un jāintegrē reālistiski 3D modeļi </w:t>
            </w:r>
            <w:proofErr w:type="spellStart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drona</w:t>
            </w:r>
            <w:proofErr w:type="spellEnd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uzņemtajās fotogrāfijās. </w:t>
            </w:r>
            <w:proofErr w:type="spellStart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Vizualizācijās</w:t>
            </w:r>
            <w:proofErr w:type="spellEnd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jāatveido plānotā infrastruktūra: </w:t>
            </w:r>
          </w:p>
          <w:p w14:paraId="561DC1DC" w14:textId="77777777" w:rsidR="00094309" w:rsidRPr="00C22AEC" w:rsidRDefault="00094309" w:rsidP="00094309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C22AEC">
              <w:rPr>
                <w:rFonts w:ascii="Times New Roman" w:hAnsi="Times New Roman" w:cs="Times New Roman"/>
              </w:rPr>
              <w:t xml:space="preserve">Sporta stadions; </w:t>
            </w:r>
          </w:p>
          <w:p w14:paraId="4EA302C4" w14:textId="77777777" w:rsidR="00094309" w:rsidRPr="00C22AEC" w:rsidRDefault="00094309" w:rsidP="00094309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C22AEC">
              <w:rPr>
                <w:rFonts w:ascii="Times New Roman" w:hAnsi="Times New Roman" w:cs="Times New Roman"/>
              </w:rPr>
              <w:t xml:space="preserve">Nometnes zona ar teltīm un konteineriem (lauku virtuve, sanitārie moduļi); </w:t>
            </w:r>
          </w:p>
          <w:p w14:paraId="5EADFDFB" w14:textId="77777777" w:rsidR="00094309" w:rsidRPr="00C22AEC" w:rsidRDefault="00094309" w:rsidP="00094309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C22AEC">
              <w:rPr>
                <w:rFonts w:ascii="Times New Roman" w:hAnsi="Times New Roman" w:cs="Times New Roman"/>
              </w:rPr>
              <w:t xml:space="preserve">Laivu nolaišanas </w:t>
            </w:r>
            <w:proofErr w:type="spellStart"/>
            <w:r w:rsidRPr="00C22AEC">
              <w:rPr>
                <w:rFonts w:ascii="Times New Roman" w:hAnsi="Times New Roman" w:cs="Times New Roman"/>
              </w:rPr>
              <w:t>slips</w:t>
            </w:r>
            <w:proofErr w:type="spellEnd"/>
            <w:r w:rsidRPr="00C22AEC">
              <w:rPr>
                <w:rFonts w:ascii="Times New Roman" w:hAnsi="Times New Roman" w:cs="Times New Roman"/>
              </w:rPr>
              <w:t xml:space="preserve"> ezera krastā; </w:t>
            </w:r>
          </w:p>
          <w:p w14:paraId="4F2ACF51" w14:textId="6EA76C6A" w:rsidR="00094309" w:rsidRDefault="00094309" w:rsidP="00094309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2AEC">
              <w:rPr>
                <w:rFonts w:ascii="Times New Roman" w:hAnsi="Times New Roman" w:cs="Times New Roman"/>
              </w:rPr>
              <w:t>Katastrofu pārvaldības centrs.</w:t>
            </w:r>
          </w:p>
        </w:tc>
        <w:tc>
          <w:tcPr>
            <w:tcW w:w="3476" w:type="dxa"/>
          </w:tcPr>
          <w:p w14:paraId="38603762" w14:textId="77777777" w:rsidR="00322DB7" w:rsidRPr="002035F0" w:rsidRDefault="00322DB7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80E66" w:rsidRPr="002035F0" w14:paraId="584A67DA" w14:textId="77777777" w:rsidTr="006E59B7">
        <w:tc>
          <w:tcPr>
            <w:tcW w:w="666" w:type="dxa"/>
          </w:tcPr>
          <w:p w14:paraId="6C064A30" w14:textId="77777777" w:rsidR="00680E66" w:rsidRPr="00322DB7" w:rsidRDefault="00680E66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97F08E9" w14:textId="77777777" w:rsidR="00680E66" w:rsidRDefault="00680E66" w:rsidP="00680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Jāizstrādā un jāintegrē reālistiski 3D modeļi </w:t>
            </w:r>
            <w:proofErr w:type="spellStart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drona</w:t>
            </w:r>
            <w:proofErr w:type="spellEnd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uzņemtajās fotogrāfijās. </w:t>
            </w:r>
            <w:proofErr w:type="spellStart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Vizualizācijās</w:t>
            </w:r>
            <w:proofErr w:type="spellEnd"/>
            <w:r w:rsidRPr="000943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jāatveido plānotā infrastruktūra: </w:t>
            </w:r>
          </w:p>
          <w:p w14:paraId="5985B001" w14:textId="77777777" w:rsidR="00680E66" w:rsidRPr="00C22AEC" w:rsidRDefault="00680E66" w:rsidP="00680E66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C22AEC">
              <w:rPr>
                <w:rFonts w:ascii="Times New Roman" w:hAnsi="Times New Roman" w:cs="Times New Roman"/>
              </w:rPr>
              <w:t xml:space="preserve">Sporta stadions; </w:t>
            </w:r>
          </w:p>
          <w:p w14:paraId="48591417" w14:textId="2DB45DE5" w:rsidR="00680E66" w:rsidRPr="00680E66" w:rsidRDefault="00680E66" w:rsidP="00680E66">
            <w:pPr>
              <w:pStyle w:val="ListParagraph"/>
              <w:numPr>
                <w:ilvl w:val="0"/>
                <w:numId w:val="14"/>
              </w:numPr>
              <w:spacing w:line="278" w:lineRule="auto"/>
              <w:rPr>
                <w:rFonts w:ascii="Times New Roman" w:hAnsi="Times New Roman" w:cs="Times New Roman"/>
              </w:rPr>
            </w:pPr>
            <w:r w:rsidRPr="00C22AEC">
              <w:rPr>
                <w:rFonts w:ascii="Times New Roman" w:hAnsi="Times New Roman" w:cs="Times New Roman"/>
              </w:rPr>
              <w:lastRenderedPageBreak/>
              <w:t xml:space="preserve">Nometnes zona ar teltīm un konteineriem (lauku virtuve, sanitārie moduļi); </w:t>
            </w:r>
          </w:p>
        </w:tc>
        <w:tc>
          <w:tcPr>
            <w:tcW w:w="3476" w:type="dxa"/>
          </w:tcPr>
          <w:p w14:paraId="1C648B8D" w14:textId="77777777" w:rsidR="00680E66" w:rsidRPr="002035F0" w:rsidRDefault="00680E66" w:rsidP="00322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2DB7" w:rsidRPr="002035F0" w14:paraId="7C4B9704" w14:textId="77777777" w:rsidTr="006E59B7">
        <w:trPr>
          <w:trHeight w:val="131"/>
        </w:trPr>
        <w:tc>
          <w:tcPr>
            <w:tcW w:w="666" w:type="dxa"/>
            <w:shd w:val="clear" w:color="auto" w:fill="FFFFFF" w:themeFill="background1"/>
          </w:tcPr>
          <w:p w14:paraId="729BDEE9" w14:textId="0F85EE2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7CD79268" w14:textId="126B64E1" w:rsidR="00094309" w:rsidRPr="00E85586" w:rsidRDefault="00094309" w:rsidP="00094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>Jāsagatavo</w:t>
            </w:r>
            <w:r w:rsidR="009C7886">
              <w:rPr>
                <w:rFonts w:ascii="Times New Roman" w:eastAsia="Calibri" w:hAnsi="Times New Roman" w:cs="Times New Roman"/>
                <w:color w:val="000000"/>
                <w:sz w:val="24"/>
              </w:rPr>
              <w:t>, saskaņā ar 4.p. un 5.p. uzdevumiem divas atsevišķas</w:t>
            </w:r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reprezentabla dizaina prezentācijas planšete</w:t>
            </w:r>
            <w:r w:rsidR="009C7886">
              <w:rPr>
                <w:rFonts w:ascii="Times New Roman" w:eastAsia="Calibri" w:hAnsi="Times New Roman" w:cs="Times New Roman"/>
                <w:color w:val="000000"/>
                <w:sz w:val="24"/>
              </w:rPr>
              <w:t>s (A1 formāts)</w:t>
            </w:r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kurā apkopoti visi grafiskie materiāli (skice, </w:t>
            </w:r>
            <w:proofErr w:type="spellStart"/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>drona</w:t>
            </w:r>
            <w:proofErr w:type="spellEnd"/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foto, </w:t>
            </w:r>
            <w:proofErr w:type="spellStart"/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>vizualizācijas</w:t>
            </w:r>
            <w:proofErr w:type="spellEnd"/>
            <w:r w:rsidRPr="00E85586">
              <w:rPr>
                <w:rFonts w:ascii="Times New Roman" w:eastAsia="Calibri" w:hAnsi="Times New Roman" w:cs="Times New Roman"/>
                <w:color w:val="000000"/>
                <w:sz w:val="24"/>
              </w:rPr>
              <w:t>) un pievienots skaidrojošs apraksts par poligona attīstības ieceri</w:t>
            </w:r>
            <w:r w:rsidR="009C7886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14:paraId="60C39052" w14:textId="728980CB" w:rsidR="00322DB7" w:rsidRPr="00E03B03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476" w:type="dxa"/>
          </w:tcPr>
          <w:p w14:paraId="49848769" w14:textId="2D131119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6490AF89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5C156D22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3D089349" w14:textId="189880CB" w:rsidR="00322DB7" w:rsidRPr="00094309" w:rsidRDefault="00094309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094309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Materiāli jānodod digitālā formātā (vektorgrafika DWG/PDF, </w:t>
            </w:r>
            <w:proofErr w:type="spellStart"/>
            <w:r w:rsidRPr="00094309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vizualizācijas</w:t>
            </w:r>
            <w:proofErr w:type="spellEnd"/>
            <w:r w:rsidRPr="00094309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 un planšete augstas izšķirtspējas JPG/PDF failos) un 1 (viens) izdrukāts prezentācijas planšetes eksemplārs uz cieta pamatnes materiāla.</w:t>
            </w:r>
          </w:p>
        </w:tc>
        <w:tc>
          <w:tcPr>
            <w:tcW w:w="3476" w:type="dxa"/>
          </w:tcPr>
          <w:p w14:paraId="0D071A82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02EAECCB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7110F813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3309DD40" w14:textId="307014AA" w:rsidR="00322DB7" w:rsidRPr="002035F0" w:rsidRDefault="00322DB7" w:rsidP="0032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Pārskatu iesniegt elektroniski un papīra formātā uz adresi: Ķengaraga iela 3 k-1, Rīga.</w:t>
            </w:r>
          </w:p>
        </w:tc>
        <w:tc>
          <w:tcPr>
            <w:tcW w:w="3476" w:type="dxa"/>
          </w:tcPr>
          <w:p w14:paraId="1C79ACE7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DB7" w:rsidRPr="002035F0" w14:paraId="37EAFF44" w14:textId="77777777" w:rsidTr="006E59B7">
        <w:trPr>
          <w:trHeight w:val="476"/>
        </w:trPr>
        <w:tc>
          <w:tcPr>
            <w:tcW w:w="666" w:type="dxa"/>
            <w:shd w:val="clear" w:color="auto" w:fill="FFFFFF" w:themeFill="background1"/>
          </w:tcPr>
          <w:p w14:paraId="46C4C67E" w14:textId="77777777" w:rsidR="00322DB7" w:rsidRPr="00322DB7" w:rsidRDefault="00322DB7" w:rsidP="00322D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FFFFFF" w:themeFill="background1"/>
          </w:tcPr>
          <w:p w14:paraId="05FFA0A0" w14:textId="640770BE" w:rsidR="00322DB7" w:rsidRPr="00C70A77" w:rsidRDefault="00322DB7" w:rsidP="0032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Izpildes laiks: ne vēlāk kā </w:t>
            </w:r>
            <w:r w:rsidR="00E56CB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Pr="00C70A7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dienu laikā no pasūtījuma veikšanas dienas.</w:t>
            </w:r>
          </w:p>
        </w:tc>
        <w:tc>
          <w:tcPr>
            <w:tcW w:w="3476" w:type="dxa"/>
          </w:tcPr>
          <w:p w14:paraId="3AC1CD3A" w14:textId="77777777" w:rsidR="00322DB7" w:rsidRPr="002035F0" w:rsidRDefault="00322DB7" w:rsidP="00322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9C5A93" w14:textId="77777777" w:rsidR="00CE7337" w:rsidRDefault="00CE733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63D38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B5779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54950D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2BDF5F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136ECE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48DA99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21374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D4E6E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7756B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B0FB6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89E494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AA87C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7E6A9F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07745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251C6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5CE49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E15157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D95A85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320658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AF412" w14:textId="77777777" w:rsidR="00094309" w:rsidRDefault="00094309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DD7206" w14:textId="77777777" w:rsidR="00E85586" w:rsidRDefault="00E85586" w:rsidP="00680E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7BFB6" w14:textId="77777777" w:rsidR="00F139B3" w:rsidRDefault="00F139B3" w:rsidP="00680E6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71783" w14:textId="442A3689" w:rsidR="00322D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Pielikums Nr.1</w:t>
      </w:r>
    </w:p>
    <w:p w14:paraId="563AB024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B651D2" w14:textId="0981845B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Būvniecības iecere </w:t>
      </w:r>
      <w:r w:rsidR="005767E4" w:rsidRPr="005767E4">
        <w:rPr>
          <w:rFonts w:ascii="Times New Roman" w:hAnsi="Times New Roman" w:cs="Times New Roman"/>
          <w:color w:val="000000" w:themeColor="text1"/>
          <w:sz w:val="28"/>
          <w:szCs w:val="28"/>
        </w:rPr>
        <w:t>Ķeipenes mācību poligona izveide</w:t>
      </w:r>
      <w:r w:rsidR="005767E4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</w:p>
    <w:p w14:paraId="41A2691A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1A51E" w14:textId="1D5BF451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BB8969F" wp14:editId="583ADCD1">
            <wp:extent cx="5274310" cy="4558665"/>
            <wp:effectExtent l="0" t="0" r="2540" b="0"/>
            <wp:docPr id="1597368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68299" name="Picture 15973682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04CF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B3639C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6FCB3E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2FE4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426ED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EB9CA1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FC48F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C405D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53F8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3B0A8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C08B29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EDE5C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00C1E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AC04B6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530F8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EC655B" w14:textId="77777777" w:rsidR="006E59B7" w:rsidRDefault="006E59B7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9ADF752" w:rsidR="00A45CF4" w:rsidRPr="00602BBE" w:rsidRDefault="00A45CF4" w:rsidP="005058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4B74E594" w14:textId="775874C3" w:rsidR="006C0DB0" w:rsidRDefault="00CD779E" w:rsidP="00FD36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</w:t>
      </w:r>
      <w:r w:rsidR="00692A33">
        <w:rPr>
          <w:rFonts w:ascii="Times New Roman" w:hAnsi="Times New Roman"/>
          <w:sz w:val="24"/>
          <w:szCs w:val="24"/>
        </w:rPr>
        <w:t>s</w:t>
      </w:r>
      <w:r w:rsidRPr="00396B2F">
        <w:rPr>
          <w:rFonts w:ascii="Times New Roman" w:hAnsi="Times New Roman"/>
          <w:sz w:val="24"/>
          <w:szCs w:val="24"/>
        </w:rPr>
        <w:t>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</w:t>
      </w:r>
      <w:r w:rsidR="003D0A96">
        <w:rPr>
          <w:rFonts w:ascii="Times New Roman" w:hAnsi="Times New Roman"/>
          <w:sz w:val="24"/>
          <w:szCs w:val="24"/>
        </w:rPr>
        <w:t>uzstādīšana, demontāža, p</w:t>
      </w:r>
      <w:r w:rsidR="00692A33">
        <w:rPr>
          <w:rFonts w:ascii="Times New Roman" w:hAnsi="Times New Roman"/>
          <w:sz w:val="24"/>
          <w:szCs w:val="24"/>
        </w:rPr>
        <w:t>i</w:t>
      </w:r>
      <w:r w:rsidR="003D0A96">
        <w:rPr>
          <w:rFonts w:ascii="Times New Roman" w:hAnsi="Times New Roman"/>
          <w:sz w:val="24"/>
          <w:szCs w:val="24"/>
        </w:rPr>
        <w:t>egāde</w:t>
      </w:r>
      <w:r>
        <w:rPr>
          <w:rFonts w:ascii="Times New Roman" w:hAnsi="Times New Roman"/>
          <w:sz w:val="24"/>
          <w:szCs w:val="24"/>
        </w:rPr>
        <w:t>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5EDDD7C2" w14:textId="77777777" w:rsidR="00785F17" w:rsidRPr="00396B2F" w:rsidRDefault="00785F17" w:rsidP="00FD363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2A3BAE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35D6618C" w:rsidR="00A45CF4" w:rsidRPr="00602BBE" w:rsidRDefault="00A45CF4" w:rsidP="00490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3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44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490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490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490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A3BAE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40A52C80" w:rsidR="00A45CF4" w:rsidRPr="0074412A" w:rsidRDefault="00A45CF4" w:rsidP="00E03B0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pct"/>
            <w:shd w:val="clear" w:color="auto" w:fill="FFFFFF" w:themeFill="background1"/>
          </w:tcPr>
          <w:p w14:paraId="0B453254" w14:textId="04C18D0F" w:rsidR="00A45CF4" w:rsidRPr="002A3BAE" w:rsidRDefault="00551881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Vizualizācijas</w:t>
            </w:r>
            <w:proofErr w:type="spellEnd"/>
            <w:r w:rsidR="00322DB7" w:rsidRPr="00F22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pakalpojuma veikšana Plauži, Ķeipenes pag., Ogres nov.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490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6182E4E1" w:rsidR="005D626C" w:rsidRPr="00304598" w:rsidRDefault="002A3BAE" w:rsidP="0054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490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2A3BAE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67E4" w:rsidRPr="00602BBE" w14:paraId="33E55096" w14:textId="77777777" w:rsidTr="00E85586">
        <w:trPr>
          <w:trHeight w:val="329"/>
        </w:trPr>
        <w:tc>
          <w:tcPr>
            <w:tcW w:w="536" w:type="pct"/>
            <w:shd w:val="clear" w:color="auto" w:fill="FFFFFF" w:themeFill="background1"/>
          </w:tcPr>
          <w:p w14:paraId="3BDC200D" w14:textId="77777777" w:rsidR="005767E4" w:rsidRPr="0074412A" w:rsidRDefault="005767E4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/>
            <w:shd w:val="clear" w:color="auto" w:fill="FFFFFF" w:themeFill="background1"/>
          </w:tcPr>
          <w:p w14:paraId="06C679D4" w14:textId="77777777" w:rsidR="005767E4" w:rsidRPr="00602BBE" w:rsidRDefault="005767E4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4" w:type="pct"/>
          </w:tcPr>
          <w:p w14:paraId="073C6B19" w14:textId="77777777" w:rsidR="005767E4" w:rsidRPr="00602BBE" w:rsidRDefault="005767E4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5767E4">
        <w:trPr>
          <w:trHeight w:val="34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2A3BAE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DEBC30" w14:textId="5494D2AC" w:rsidR="00322DB7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E81CF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dienu laikā pēc preces piegādes dienas. </w:t>
      </w:r>
    </w:p>
    <w:p w14:paraId="15E66451" w14:textId="77777777" w:rsidR="00322DB7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  <w:r w:rsidRPr="00D87C81">
        <w:rPr>
          <w:rFonts w:ascii="Times New Roman" w:hAnsi="Times New Roman"/>
          <w:b/>
          <w:sz w:val="24"/>
          <w:szCs w:val="24"/>
        </w:rPr>
        <w:t>Piegādes adrese:</w:t>
      </w:r>
      <w:r w:rsidRPr="00D87C81">
        <w:rPr>
          <w:rFonts w:ascii="Times New Roman" w:hAnsi="Times New Roman"/>
          <w:sz w:val="24"/>
          <w:szCs w:val="24"/>
        </w:rPr>
        <w:t xml:space="preserve"> </w:t>
      </w:r>
      <w:r w:rsidRPr="00D87C81">
        <w:rPr>
          <w:rFonts w:ascii="Times New Roman" w:eastAsia="Times New Roman" w:hAnsi="Times New Roman"/>
          <w:sz w:val="24"/>
          <w:szCs w:val="24"/>
          <w:lang w:eastAsia="lv-LV"/>
        </w:rPr>
        <w:t>Rīgas teritorijas robežās, konkrētu adresi iepriekš saskaņojot ar Pasūtītāju</w:t>
      </w:r>
      <w:r w:rsidRPr="00D87C81">
        <w:rPr>
          <w:rFonts w:ascii="Times New Roman" w:hAnsi="Times New Roman"/>
          <w:sz w:val="24"/>
          <w:szCs w:val="24"/>
        </w:rPr>
        <w:t>.</w:t>
      </w:r>
    </w:p>
    <w:p w14:paraId="42A339F6" w14:textId="77777777" w:rsidR="00322DB7" w:rsidRPr="004B0D6D" w:rsidRDefault="00322DB7" w:rsidP="00322DB7">
      <w:pPr>
        <w:spacing w:after="0"/>
        <w:rPr>
          <w:rFonts w:ascii="Times New Roman" w:hAnsi="Times New Roman"/>
          <w:sz w:val="24"/>
          <w:szCs w:val="24"/>
        </w:rPr>
      </w:pPr>
    </w:p>
    <w:p w14:paraId="0AF37799" w14:textId="730481C5" w:rsidR="00322DB7" w:rsidRDefault="00322DB7" w:rsidP="00322DB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551881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.07.2026.</w:t>
      </w:r>
    </w:p>
    <w:p w14:paraId="393FEB45" w14:textId="77777777" w:rsidR="00322DB7" w:rsidRDefault="00322DB7" w:rsidP="00322D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3182DE" w14:textId="77777777" w:rsidR="00322DB7" w:rsidRDefault="00322DB7" w:rsidP="00322DB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5A765F74" w14:textId="77777777" w:rsidR="00322DB7" w:rsidRPr="00CA361C" w:rsidRDefault="00322DB7" w:rsidP="00322DB7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Pr="0066023F">
          <w:rPr>
            <w:rStyle w:val="Hyperlink"/>
            <w:rFonts w:ascii="Times New Roman" w:hAnsi="Times New Roman"/>
            <w:b/>
            <w:sz w:val="24"/>
            <w:szCs w:val="24"/>
          </w:rPr>
          <w:t>normunds.feldbergs@ucak.vugd.gov.lv</w:t>
        </w:r>
      </w:hyperlink>
    </w:p>
    <w:p w14:paraId="0A38D90F" w14:textId="77777777" w:rsidR="00322DB7" w:rsidRPr="00CD2DE6" w:rsidRDefault="00322DB7" w:rsidP="00322DB7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29876259</w:t>
      </w:r>
    </w:p>
    <w:p w14:paraId="7D864C7E" w14:textId="73B0DB6C" w:rsidR="00505511" w:rsidRPr="000F24FB" w:rsidRDefault="00505511" w:rsidP="005767E4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505511" w:rsidRPr="000F24FB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BB25" w14:textId="77777777" w:rsidR="00227CB6" w:rsidRDefault="00227CB6" w:rsidP="008028C8">
      <w:pPr>
        <w:spacing w:after="0" w:line="240" w:lineRule="auto"/>
      </w:pPr>
      <w:r>
        <w:separator/>
      </w:r>
    </w:p>
  </w:endnote>
  <w:endnote w:type="continuationSeparator" w:id="0">
    <w:p w14:paraId="11B97E6A" w14:textId="77777777" w:rsidR="00227CB6" w:rsidRDefault="00227CB6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2C85" w14:textId="77777777"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FCF6" w14:textId="77777777"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90CC" w14:textId="77777777"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667A" w14:textId="77777777" w:rsidR="00227CB6" w:rsidRDefault="00227CB6" w:rsidP="008028C8">
      <w:pPr>
        <w:spacing w:after="0" w:line="240" w:lineRule="auto"/>
      </w:pPr>
      <w:r>
        <w:separator/>
      </w:r>
    </w:p>
  </w:footnote>
  <w:footnote w:type="continuationSeparator" w:id="0">
    <w:p w14:paraId="779869AB" w14:textId="77777777" w:rsidR="00227CB6" w:rsidRDefault="00227CB6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F6EA" w14:textId="77777777"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2971" w14:textId="77777777"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DBBD" w14:textId="77777777"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785"/>
    <w:multiLevelType w:val="hybridMultilevel"/>
    <w:tmpl w:val="2F567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4D0F"/>
    <w:multiLevelType w:val="hybridMultilevel"/>
    <w:tmpl w:val="087845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B7E66"/>
    <w:multiLevelType w:val="hybridMultilevel"/>
    <w:tmpl w:val="D1123A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E74EA"/>
    <w:multiLevelType w:val="hybridMultilevel"/>
    <w:tmpl w:val="14988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B551714"/>
    <w:multiLevelType w:val="hybridMultilevel"/>
    <w:tmpl w:val="FFFA9D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6376">
    <w:abstractNumId w:val="13"/>
  </w:num>
  <w:num w:numId="2" w16cid:durableId="555319182">
    <w:abstractNumId w:val="5"/>
  </w:num>
  <w:num w:numId="3" w16cid:durableId="1759250183">
    <w:abstractNumId w:val="12"/>
  </w:num>
  <w:num w:numId="4" w16cid:durableId="101733864">
    <w:abstractNumId w:val="2"/>
  </w:num>
  <w:num w:numId="5" w16cid:durableId="192498938">
    <w:abstractNumId w:val="11"/>
  </w:num>
  <w:num w:numId="6" w16cid:durableId="955647318">
    <w:abstractNumId w:val="10"/>
  </w:num>
  <w:num w:numId="7" w16cid:durableId="2040664470">
    <w:abstractNumId w:val="7"/>
  </w:num>
  <w:num w:numId="8" w16cid:durableId="1895854117">
    <w:abstractNumId w:val="8"/>
  </w:num>
  <w:num w:numId="9" w16cid:durableId="989598685">
    <w:abstractNumId w:val="9"/>
  </w:num>
  <w:num w:numId="10" w16cid:durableId="217907237">
    <w:abstractNumId w:val="4"/>
  </w:num>
  <w:num w:numId="11" w16cid:durableId="1963270189">
    <w:abstractNumId w:val="1"/>
  </w:num>
  <w:num w:numId="12" w16cid:durableId="210119714">
    <w:abstractNumId w:val="6"/>
  </w:num>
  <w:num w:numId="13" w16cid:durableId="1888563940">
    <w:abstractNumId w:val="0"/>
  </w:num>
  <w:num w:numId="14" w16cid:durableId="19634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4309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24FB"/>
    <w:rsid w:val="000F4902"/>
    <w:rsid w:val="000F5BC1"/>
    <w:rsid w:val="0010057F"/>
    <w:rsid w:val="00101E8A"/>
    <w:rsid w:val="00105AF0"/>
    <w:rsid w:val="0011196A"/>
    <w:rsid w:val="00113454"/>
    <w:rsid w:val="00115739"/>
    <w:rsid w:val="001163B7"/>
    <w:rsid w:val="00120042"/>
    <w:rsid w:val="00124932"/>
    <w:rsid w:val="00125A0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35F0"/>
    <w:rsid w:val="002072E3"/>
    <w:rsid w:val="002273C0"/>
    <w:rsid w:val="00227CB6"/>
    <w:rsid w:val="002341D8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289B"/>
    <w:rsid w:val="002735B7"/>
    <w:rsid w:val="002745BD"/>
    <w:rsid w:val="00275FD8"/>
    <w:rsid w:val="002A0104"/>
    <w:rsid w:val="002A3BAE"/>
    <w:rsid w:val="002A4295"/>
    <w:rsid w:val="002A6574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066DD"/>
    <w:rsid w:val="00313DAE"/>
    <w:rsid w:val="003163F9"/>
    <w:rsid w:val="003164CA"/>
    <w:rsid w:val="00322DB7"/>
    <w:rsid w:val="0033689E"/>
    <w:rsid w:val="00346E4B"/>
    <w:rsid w:val="00350729"/>
    <w:rsid w:val="00353BD6"/>
    <w:rsid w:val="00353E5F"/>
    <w:rsid w:val="00367CE4"/>
    <w:rsid w:val="00373432"/>
    <w:rsid w:val="00374FC5"/>
    <w:rsid w:val="003757E4"/>
    <w:rsid w:val="00377F48"/>
    <w:rsid w:val="00384A7D"/>
    <w:rsid w:val="0039649B"/>
    <w:rsid w:val="003B335B"/>
    <w:rsid w:val="003C12F1"/>
    <w:rsid w:val="003C5575"/>
    <w:rsid w:val="003C7685"/>
    <w:rsid w:val="003D0A96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5639A"/>
    <w:rsid w:val="0046031C"/>
    <w:rsid w:val="00462C9A"/>
    <w:rsid w:val="00465419"/>
    <w:rsid w:val="00467C8F"/>
    <w:rsid w:val="00470EB7"/>
    <w:rsid w:val="00477FE2"/>
    <w:rsid w:val="00482135"/>
    <w:rsid w:val="004869DA"/>
    <w:rsid w:val="004906B5"/>
    <w:rsid w:val="004907BC"/>
    <w:rsid w:val="0049629E"/>
    <w:rsid w:val="004A72BC"/>
    <w:rsid w:val="004C40A5"/>
    <w:rsid w:val="004F172C"/>
    <w:rsid w:val="004F4B9B"/>
    <w:rsid w:val="00505511"/>
    <w:rsid w:val="005058BB"/>
    <w:rsid w:val="00505C05"/>
    <w:rsid w:val="00506A28"/>
    <w:rsid w:val="005120DE"/>
    <w:rsid w:val="005351F3"/>
    <w:rsid w:val="0053707C"/>
    <w:rsid w:val="00540322"/>
    <w:rsid w:val="00542CDC"/>
    <w:rsid w:val="005459A7"/>
    <w:rsid w:val="005463BC"/>
    <w:rsid w:val="00551881"/>
    <w:rsid w:val="00573E1B"/>
    <w:rsid w:val="005757B3"/>
    <w:rsid w:val="005767E4"/>
    <w:rsid w:val="00580F4B"/>
    <w:rsid w:val="0058365B"/>
    <w:rsid w:val="00584775"/>
    <w:rsid w:val="00584889"/>
    <w:rsid w:val="00587C49"/>
    <w:rsid w:val="005A022F"/>
    <w:rsid w:val="005A30BC"/>
    <w:rsid w:val="005A6E77"/>
    <w:rsid w:val="005B144B"/>
    <w:rsid w:val="005B2F25"/>
    <w:rsid w:val="005B7B2A"/>
    <w:rsid w:val="005C3DE7"/>
    <w:rsid w:val="005C5215"/>
    <w:rsid w:val="005D626C"/>
    <w:rsid w:val="005D6876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7BEA"/>
    <w:rsid w:val="00671ACC"/>
    <w:rsid w:val="00680E66"/>
    <w:rsid w:val="00682728"/>
    <w:rsid w:val="00684EEF"/>
    <w:rsid w:val="00692A33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E59B7"/>
    <w:rsid w:val="006F2F9E"/>
    <w:rsid w:val="00703341"/>
    <w:rsid w:val="00704B1B"/>
    <w:rsid w:val="00707ECD"/>
    <w:rsid w:val="00710773"/>
    <w:rsid w:val="00711940"/>
    <w:rsid w:val="007132D0"/>
    <w:rsid w:val="0071365B"/>
    <w:rsid w:val="007210C8"/>
    <w:rsid w:val="00722567"/>
    <w:rsid w:val="00732738"/>
    <w:rsid w:val="00737A4A"/>
    <w:rsid w:val="00746131"/>
    <w:rsid w:val="00755BC3"/>
    <w:rsid w:val="00756DB7"/>
    <w:rsid w:val="00761781"/>
    <w:rsid w:val="007629C0"/>
    <w:rsid w:val="00766D44"/>
    <w:rsid w:val="00774600"/>
    <w:rsid w:val="00777087"/>
    <w:rsid w:val="00785F1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23E15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062E"/>
    <w:rsid w:val="008A763E"/>
    <w:rsid w:val="008B3B79"/>
    <w:rsid w:val="008D6459"/>
    <w:rsid w:val="008D6474"/>
    <w:rsid w:val="008E09FB"/>
    <w:rsid w:val="008E2357"/>
    <w:rsid w:val="008E37AB"/>
    <w:rsid w:val="008F2655"/>
    <w:rsid w:val="008F4363"/>
    <w:rsid w:val="00904164"/>
    <w:rsid w:val="00907C1C"/>
    <w:rsid w:val="00922CE3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C7886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C0531"/>
    <w:rsid w:val="00AE3520"/>
    <w:rsid w:val="00B05C3F"/>
    <w:rsid w:val="00B3791A"/>
    <w:rsid w:val="00B403AE"/>
    <w:rsid w:val="00B41748"/>
    <w:rsid w:val="00B46F78"/>
    <w:rsid w:val="00B54475"/>
    <w:rsid w:val="00B54D0F"/>
    <w:rsid w:val="00B5770F"/>
    <w:rsid w:val="00B61F66"/>
    <w:rsid w:val="00B6275F"/>
    <w:rsid w:val="00B653AE"/>
    <w:rsid w:val="00B75FC6"/>
    <w:rsid w:val="00B76E56"/>
    <w:rsid w:val="00B7736B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1F9C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E7337"/>
    <w:rsid w:val="00CF2308"/>
    <w:rsid w:val="00D01281"/>
    <w:rsid w:val="00D02AC3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87C81"/>
    <w:rsid w:val="00D96DD7"/>
    <w:rsid w:val="00DA5A4F"/>
    <w:rsid w:val="00DD6322"/>
    <w:rsid w:val="00DE563E"/>
    <w:rsid w:val="00DF4806"/>
    <w:rsid w:val="00E00F94"/>
    <w:rsid w:val="00E01C0C"/>
    <w:rsid w:val="00E03B03"/>
    <w:rsid w:val="00E06C41"/>
    <w:rsid w:val="00E35C00"/>
    <w:rsid w:val="00E372E3"/>
    <w:rsid w:val="00E441C6"/>
    <w:rsid w:val="00E44CAE"/>
    <w:rsid w:val="00E544C4"/>
    <w:rsid w:val="00E56CB7"/>
    <w:rsid w:val="00E5756A"/>
    <w:rsid w:val="00E6034B"/>
    <w:rsid w:val="00E77B9D"/>
    <w:rsid w:val="00E81CF0"/>
    <w:rsid w:val="00E82399"/>
    <w:rsid w:val="00E85586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229F"/>
    <w:rsid w:val="00ED4A86"/>
    <w:rsid w:val="00EE357E"/>
    <w:rsid w:val="00EE5372"/>
    <w:rsid w:val="00EE6C06"/>
    <w:rsid w:val="00EF02A9"/>
    <w:rsid w:val="00EF0B38"/>
    <w:rsid w:val="00EF1417"/>
    <w:rsid w:val="00F00EBD"/>
    <w:rsid w:val="00F02123"/>
    <w:rsid w:val="00F079DA"/>
    <w:rsid w:val="00F07D2F"/>
    <w:rsid w:val="00F139B3"/>
    <w:rsid w:val="00F15B22"/>
    <w:rsid w:val="00F1622E"/>
    <w:rsid w:val="00F2239F"/>
    <w:rsid w:val="00F2250F"/>
    <w:rsid w:val="00F24D10"/>
    <w:rsid w:val="00F31434"/>
    <w:rsid w:val="00F33B99"/>
    <w:rsid w:val="00F33C5B"/>
    <w:rsid w:val="00F36182"/>
    <w:rsid w:val="00F40E12"/>
    <w:rsid w:val="00F43E2B"/>
    <w:rsid w:val="00F60193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363C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E8F5E"/>
  <w15:chartTrackingRefBased/>
  <w15:docId w15:val="{69FA39A1-6148-45E1-AF30-317B1135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E0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munds.feldbergs@ucak.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E643-D3BA-44A9-B8EF-B7CA4840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Nx</cp:lastModifiedBy>
  <cp:revision>10</cp:revision>
  <dcterms:created xsi:type="dcterms:W3CDTF">2026-07-01T07:12:00Z</dcterms:created>
  <dcterms:modified xsi:type="dcterms:W3CDTF">2026-07-16T07:43:00Z</dcterms:modified>
</cp:coreProperties>
</file>