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7D2D89" w14:textId="77777777" w:rsidR="0072305C" w:rsidRDefault="0072305C" w:rsidP="003B5874">
      <w:pPr>
        <w:jc w:val="both"/>
        <w:rPr>
          <w:rFonts w:ascii="Times New Roman" w:hAnsi="Times New Roman" w:cs="Times New Roman"/>
          <w:i/>
          <w:sz w:val="24"/>
          <w:szCs w:val="28"/>
        </w:rPr>
      </w:pPr>
      <w:r w:rsidRPr="00D75B4D">
        <w:rPr>
          <w:rFonts w:ascii="Times New Roman" w:hAnsi="Times New Roman" w:cs="Times New Roman"/>
          <w:i/>
          <w:sz w:val="24"/>
          <w:szCs w:val="28"/>
        </w:rPr>
        <w:t>Piedaloties tirgus izpētē un iesniedzot elektroniski parakstītu Finanšu piedāvājumu, pretendents uzņemas nodrošināt Tehniskajā specifikācijā norādīto pakalpojumu par Finanšu piedāvājumā norādīto cenu, kas ietver visas ar Tehniskajā specifikācijā noteikto prasību izpildi saistītās izmaksas, kā arī visas ar to netieši saistītās izmaksas.</w:t>
      </w:r>
    </w:p>
    <w:p w14:paraId="5748B5BD" w14:textId="77777777" w:rsidR="0072305C" w:rsidRDefault="0072305C" w:rsidP="003B5874">
      <w:pPr>
        <w:jc w:val="both"/>
        <w:rPr>
          <w:rFonts w:ascii="Times New Roman" w:hAnsi="Times New Roman" w:cs="Times New Roman"/>
          <w:i/>
          <w:sz w:val="24"/>
          <w:szCs w:val="28"/>
        </w:rPr>
      </w:pPr>
    </w:p>
    <w:p w14:paraId="1B70ECC1" w14:textId="77777777" w:rsidR="0072305C" w:rsidRDefault="0072305C" w:rsidP="003B5874">
      <w:pPr>
        <w:jc w:val="both"/>
        <w:rPr>
          <w:rFonts w:ascii="Times New Roman" w:hAnsi="Times New Roman" w:cs="Times New Roman"/>
          <w:i/>
          <w:sz w:val="24"/>
          <w:szCs w:val="28"/>
        </w:rPr>
      </w:pPr>
    </w:p>
    <w:p w14:paraId="56375A77" w14:textId="77777777" w:rsidR="0072305C" w:rsidRDefault="0072305C" w:rsidP="003B5874">
      <w:pPr>
        <w:jc w:val="both"/>
        <w:rPr>
          <w:rFonts w:ascii="Times New Roman" w:hAnsi="Times New Roman" w:cs="Times New Roman"/>
          <w:i/>
          <w:sz w:val="24"/>
          <w:szCs w:val="28"/>
        </w:rPr>
      </w:pPr>
    </w:p>
    <w:p w14:paraId="24966378" w14:textId="77777777" w:rsidR="003B5874" w:rsidRDefault="003B5874">
      <w:pPr>
        <w:rPr>
          <w:rFonts w:ascii="Times New Roman" w:hAnsi="Times New Roman" w:cs="Times New Roman"/>
          <w:i/>
          <w:sz w:val="24"/>
          <w:szCs w:val="28"/>
        </w:rPr>
      </w:pPr>
      <w:r>
        <w:rPr>
          <w:rFonts w:ascii="Times New Roman" w:hAnsi="Times New Roman" w:cs="Times New Roman"/>
          <w:i/>
          <w:sz w:val="24"/>
          <w:szCs w:val="28"/>
        </w:rPr>
        <w:br w:type="page"/>
      </w:r>
    </w:p>
    <w:p w14:paraId="3872BD13" w14:textId="77777777" w:rsidR="00886296" w:rsidRPr="003B5874" w:rsidRDefault="005D1B2B" w:rsidP="0091070B">
      <w:pPr>
        <w:jc w:val="center"/>
        <w:rPr>
          <w:rFonts w:ascii="Times New Roman" w:hAnsi="Times New Roman" w:cs="Times New Roman"/>
          <w:sz w:val="24"/>
          <w:szCs w:val="28"/>
        </w:rPr>
      </w:pPr>
      <w:r w:rsidRPr="003B5874">
        <w:rPr>
          <w:rFonts w:ascii="Times New Roman" w:hAnsi="Times New Roman" w:cs="Times New Roman"/>
          <w:sz w:val="24"/>
          <w:szCs w:val="28"/>
        </w:rPr>
        <w:lastRenderedPageBreak/>
        <w:t>PRETENDENTA PIETEIKUMS</w:t>
      </w:r>
    </w:p>
    <w:tbl>
      <w:tblPr>
        <w:tblStyle w:val="TableGrid"/>
        <w:tblW w:w="5160" w:type="pct"/>
        <w:tblInd w:w="-289" w:type="dxa"/>
        <w:tblLook w:val="04A0" w:firstRow="1" w:lastRow="0" w:firstColumn="1" w:lastColumn="0" w:noHBand="0" w:noVBand="1"/>
      </w:tblPr>
      <w:tblGrid>
        <w:gridCol w:w="4798"/>
        <w:gridCol w:w="4507"/>
      </w:tblGrid>
      <w:tr w:rsidR="0091070B" w14:paraId="2F82B834" w14:textId="77777777" w:rsidTr="00645203">
        <w:tc>
          <w:tcPr>
            <w:tcW w:w="2578" w:type="pct"/>
            <w:shd w:val="clear" w:color="auto" w:fill="CFD6E8" w:themeFill="accent1"/>
          </w:tcPr>
          <w:p w14:paraId="24CC4A83" w14:textId="77777777" w:rsidR="0091070B" w:rsidRPr="005D1B2B" w:rsidRDefault="0091070B" w:rsidP="0091070B">
            <w:pPr>
              <w:rPr>
                <w:rFonts w:ascii="Times New Roman" w:hAnsi="Times New Roman" w:cs="Times New Roman"/>
                <w:sz w:val="24"/>
                <w:szCs w:val="24"/>
              </w:rPr>
            </w:pPr>
            <w:r w:rsidRPr="005D1B2B">
              <w:rPr>
                <w:rFonts w:ascii="Times New Roman" w:hAnsi="Times New Roman" w:cs="Times New Roman"/>
                <w:sz w:val="24"/>
                <w:szCs w:val="24"/>
              </w:rPr>
              <w:t>Nosaukums</w:t>
            </w:r>
          </w:p>
        </w:tc>
        <w:tc>
          <w:tcPr>
            <w:tcW w:w="2422" w:type="pct"/>
          </w:tcPr>
          <w:p w14:paraId="4C533771" w14:textId="77777777" w:rsidR="0091070B" w:rsidRDefault="0091070B" w:rsidP="0091070B">
            <w:pPr>
              <w:jc w:val="center"/>
            </w:pPr>
          </w:p>
        </w:tc>
      </w:tr>
      <w:tr w:rsidR="0091070B" w14:paraId="0F304F6D" w14:textId="77777777" w:rsidTr="00645203">
        <w:tc>
          <w:tcPr>
            <w:tcW w:w="2578" w:type="pct"/>
            <w:shd w:val="clear" w:color="auto" w:fill="CFD6E8" w:themeFill="accent1"/>
          </w:tcPr>
          <w:p w14:paraId="44E167AD" w14:textId="77777777" w:rsidR="0091070B" w:rsidRPr="005D1B2B" w:rsidRDefault="0091070B" w:rsidP="0091070B">
            <w:pPr>
              <w:rPr>
                <w:rFonts w:ascii="Times New Roman" w:hAnsi="Times New Roman" w:cs="Times New Roman"/>
                <w:sz w:val="24"/>
                <w:szCs w:val="24"/>
              </w:rPr>
            </w:pPr>
            <w:r w:rsidRPr="005D1B2B">
              <w:rPr>
                <w:rFonts w:ascii="Times New Roman" w:hAnsi="Times New Roman" w:cs="Times New Roman"/>
                <w:sz w:val="24"/>
                <w:szCs w:val="24"/>
              </w:rPr>
              <w:t>Reģistrācijas numurs</w:t>
            </w:r>
          </w:p>
        </w:tc>
        <w:tc>
          <w:tcPr>
            <w:tcW w:w="2422" w:type="pct"/>
          </w:tcPr>
          <w:p w14:paraId="165327F3" w14:textId="77777777" w:rsidR="0091070B" w:rsidRDefault="0091070B" w:rsidP="0091070B">
            <w:pPr>
              <w:jc w:val="center"/>
            </w:pPr>
          </w:p>
        </w:tc>
      </w:tr>
      <w:tr w:rsidR="0091070B" w14:paraId="0390516B" w14:textId="77777777" w:rsidTr="00645203">
        <w:tc>
          <w:tcPr>
            <w:tcW w:w="2578" w:type="pct"/>
            <w:shd w:val="clear" w:color="auto" w:fill="CFD6E8" w:themeFill="accent1"/>
          </w:tcPr>
          <w:p w14:paraId="4B63BA46" w14:textId="77777777" w:rsidR="0091070B" w:rsidRPr="005D1B2B" w:rsidRDefault="0091070B" w:rsidP="002D2E6E">
            <w:pPr>
              <w:rPr>
                <w:rFonts w:ascii="Times New Roman" w:hAnsi="Times New Roman" w:cs="Times New Roman"/>
                <w:sz w:val="24"/>
                <w:szCs w:val="24"/>
              </w:rPr>
            </w:pPr>
            <w:r w:rsidRPr="005D1B2B">
              <w:rPr>
                <w:rFonts w:ascii="Times New Roman" w:hAnsi="Times New Roman" w:cs="Times New Roman"/>
                <w:sz w:val="24"/>
                <w:szCs w:val="24"/>
              </w:rPr>
              <w:t xml:space="preserve">Pretendenta </w:t>
            </w:r>
            <w:r w:rsidR="002D2E6E">
              <w:rPr>
                <w:rFonts w:ascii="Times New Roman" w:hAnsi="Times New Roman" w:cs="Times New Roman"/>
                <w:sz w:val="24"/>
                <w:szCs w:val="24"/>
              </w:rPr>
              <w:t>kontaktinformācij</w:t>
            </w:r>
            <w:r w:rsidR="00645203">
              <w:rPr>
                <w:rFonts w:ascii="Times New Roman" w:hAnsi="Times New Roman" w:cs="Times New Roman"/>
                <w:sz w:val="24"/>
                <w:szCs w:val="24"/>
              </w:rPr>
              <w:t>a</w:t>
            </w:r>
            <w:r w:rsidR="002D2E6E">
              <w:rPr>
                <w:rFonts w:ascii="Times New Roman" w:hAnsi="Times New Roman" w:cs="Times New Roman"/>
                <w:sz w:val="24"/>
                <w:szCs w:val="24"/>
              </w:rPr>
              <w:t xml:space="preserve"> </w:t>
            </w:r>
            <w:r w:rsidR="00701C8F">
              <w:rPr>
                <w:rFonts w:ascii="Times New Roman" w:hAnsi="Times New Roman" w:cs="Times New Roman"/>
                <w:sz w:val="24"/>
                <w:szCs w:val="24"/>
              </w:rPr>
              <w:t>(e-pasts, tālruņa numurs, adrese)</w:t>
            </w:r>
          </w:p>
        </w:tc>
        <w:tc>
          <w:tcPr>
            <w:tcW w:w="2422" w:type="pct"/>
          </w:tcPr>
          <w:p w14:paraId="4BEDF9AD" w14:textId="77777777" w:rsidR="0091070B" w:rsidRDefault="0091070B" w:rsidP="0091070B">
            <w:pPr>
              <w:jc w:val="center"/>
            </w:pPr>
          </w:p>
        </w:tc>
      </w:tr>
      <w:tr w:rsidR="00C140F1" w14:paraId="6A2C8C43" w14:textId="77777777" w:rsidTr="00645203">
        <w:tc>
          <w:tcPr>
            <w:tcW w:w="2578" w:type="pct"/>
            <w:shd w:val="clear" w:color="auto" w:fill="CFD6E8" w:themeFill="accent1"/>
          </w:tcPr>
          <w:p w14:paraId="48BEDBB9" w14:textId="1A6E5009" w:rsidR="00C140F1" w:rsidRPr="005D1B2B" w:rsidRDefault="00C140F1" w:rsidP="002D2E6E">
            <w:pPr>
              <w:rPr>
                <w:rFonts w:ascii="Times New Roman" w:hAnsi="Times New Roman" w:cs="Times New Roman"/>
                <w:sz w:val="24"/>
                <w:szCs w:val="24"/>
              </w:rPr>
            </w:pPr>
            <w:r>
              <w:rPr>
                <w:rFonts w:ascii="Times New Roman" w:hAnsi="Times New Roman" w:cs="Times New Roman"/>
                <w:sz w:val="24"/>
                <w:szCs w:val="24"/>
              </w:rPr>
              <w:t>VUGD kontaktpersona</w:t>
            </w:r>
          </w:p>
        </w:tc>
        <w:tc>
          <w:tcPr>
            <w:tcW w:w="2422" w:type="pct"/>
          </w:tcPr>
          <w:p w14:paraId="5D0028DD" w14:textId="011029EB" w:rsidR="00C140F1" w:rsidRDefault="001117A4" w:rsidP="001117A4">
            <w:pPr>
              <w:jc w:val="both"/>
            </w:pPr>
            <w:r>
              <w:rPr>
                <w:rFonts w:ascii="Times New Roman" w:hAnsi="Times New Roman" w:cs="Times New Roman"/>
                <w:sz w:val="24"/>
                <w:szCs w:val="24"/>
              </w:rPr>
              <w:t xml:space="preserve">Attīstības un starptautiskās sadarbības pārvaldes Plānošanas un koordinācijas nodaļas vecākā speciāliste Diāna Petersa, e-pasts: </w:t>
            </w:r>
            <w:hyperlink r:id="rId8" w:history="1">
              <w:r w:rsidRPr="00182A82">
                <w:rPr>
                  <w:rStyle w:val="Hyperlink"/>
                  <w:rFonts w:ascii="Times New Roman" w:hAnsi="Times New Roman" w:cs="Times New Roman"/>
                  <w:sz w:val="24"/>
                  <w:szCs w:val="24"/>
                </w:rPr>
                <w:t>diana.petersa@vugd.gov.lv</w:t>
              </w:r>
            </w:hyperlink>
            <w:r>
              <w:rPr>
                <w:rFonts w:ascii="Times New Roman" w:hAnsi="Times New Roman" w:cs="Times New Roman"/>
                <w:sz w:val="24"/>
                <w:szCs w:val="24"/>
              </w:rPr>
              <w:t xml:space="preserve">, tālrunis: </w:t>
            </w:r>
            <w:r w:rsidRPr="001117A4">
              <w:rPr>
                <w:rFonts w:ascii="Times New Roman" w:hAnsi="Times New Roman" w:cs="Times New Roman"/>
                <w:sz w:val="24"/>
                <w:szCs w:val="24"/>
              </w:rPr>
              <w:t>20 273 264</w:t>
            </w:r>
          </w:p>
        </w:tc>
      </w:tr>
    </w:tbl>
    <w:p w14:paraId="52903B1B" w14:textId="77777777" w:rsidR="0091070B" w:rsidRDefault="0091070B" w:rsidP="00F70AB6">
      <w:pPr>
        <w:spacing w:after="0"/>
        <w:jc w:val="center"/>
      </w:pPr>
    </w:p>
    <w:p w14:paraId="02384E5C" w14:textId="77777777" w:rsidR="0091070B" w:rsidRPr="00601829" w:rsidRDefault="0091070B" w:rsidP="00F70AB6">
      <w:pPr>
        <w:spacing w:after="0"/>
        <w:jc w:val="center"/>
        <w:rPr>
          <w:rFonts w:ascii="Times New Roman" w:hAnsi="Times New Roman" w:cs="Times New Roman"/>
          <w:b/>
          <w:sz w:val="28"/>
          <w:szCs w:val="28"/>
        </w:rPr>
      </w:pPr>
      <w:r w:rsidRPr="00601829">
        <w:rPr>
          <w:rFonts w:ascii="Times New Roman" w:hAnsi="Times New Roman" w:cs="Times New Roman"/>
          <w:b/>
          <w:sz w:val="28"/>
          <w:szCs w:val="28"/>
        </w:rPr>
        <w:t>TEHNISKĀ SPECIFIKĀCIJA UN TEHNISKAIS PIEDĀVĀJUMS</w:t>
      </w:r>
    </w:p>
    <w:p w14:paraId="4522C0D7" w14:textId="77777777" w:rsidR="002D3EC0" w:rsidRPr="00601829" w:rsidRDefault="003B5874" w:rsidP="00E429B0">
      <w:pPr>
        <w:pStyle w:val="ListParagraph"/>
        <w:ind w:left="0"/>
        <w:jc w:val="center"/>
        <w:rPr>
          <w:rFonts w:ascii="Times New Roman" w:eastAsia="Calibri" w:hAnsi="Times New Roman" w:cs="Times New Roman"/>
          <w:b/>
          <w:bCs/>
          <w:color w:val="000000"/>
          <w:sz w:val="28"/>
          <w:szCs w:val="24"/>
          <w:lang w:eastAsia="lv-LV"/>
        </w:rPr>
      </w:pPr>
      <w:r w:rsidRPr="00601829">
        <w:rPr>
          <w:rFonts w:ascii="Times New Roman" w:eastAsia="Calibri" w:hAnsi="Times New Roman" w:cs="Times New Roman"/>
          <w:b/>
          <w:bCs/>
          <w:color w:val="000000"/>
          <w:sz w:val="28"/>
          <w:szCs w:val="24"/>
          <w:lang w:eastAsia="lv-LV"/>
        </w:rPr>
        <w:t>SABIEDRISKĀS DOMAS APTAUJAS VEIKŠANA</w:t>
      </w:r>
    </w:p>
    <w:tbl>
      <w:tblPr>
        <w:tblW w:w="9356" w:type="dxa"/>
        <w:tblInd w:w="-294" w:type="dxa"/>
        <w:tblCellMar>
          <w:left w:w="0" w:type="dxa"/>
          <w:right w:w="0" w:type="dxa"/>
        </w:tblCellMar>
        <w:tblLook w:val="00A0" w:firstRow="1" w:lastRow="0" w:firstColumn="1" w:lastColumn="0" w:noHBand="0" w:noVBand="0"/>
      </w:tblPr>
      <w:tblGrid>
        <w:gridCol w:w="710"/>
        <w:gridCol w:w="4110"/>
        <w:gridCol w:w="4536"/>
      </w:tblGrid>
      <w:tr w:rsidR="0051766A" w:rsidRPr="003F0375" w14:paraId="7C0D4DBA" w14:textId="77777777" w:rsidTr="0051766A">
        <w:trPr>
          <w:trHeight w:val="722"/>
        </w:trPr>
        <w:tc>
          <w:tcPr>
            <w:tcW w:w="710" w:type="dxa"/>
            <w:tcBorders>
              <w:top w:val="single" w:sz="8" w:space="0" w:color="auto"/>
              <w:left w:val="single" w:sz="8" w:space="0" w:color="auto"/>
              <w:bottom w:val="single" w:sz="8" w:space="0" w:color="auto"/>
              <w:right w:val="single" w:sz="8" w:space="0" w:color="auto"/>
            </w:tcBorders>
            <w:shd w:val="clear" w:color="auto" w:fill="525A72" w:themeFill="accent2"/>
            <w:noWrap/>
            <w:vAlign w:val="center"/>
          </w:tcPr>
          <w:p w14:paraId="614CD265" w14:textId="77777777" w:rsidR="0051766A" w:rsidRPr="00645203" w:rsidRDefault="0051766A" w:rsidP="0078606C">
            <w:pPr>
              <w:spacing w:after="0" w:line="240" w:lineRule="auto"/>
              <w:jc w:val="center"/>
              <w:rPr>
                <w:rFonts w:ascii="Times New Roman" w:eastAsia="Calibri" w:hAnsi="Times New Roman" w:cs="Times New Roman"/>
                <w:b/>
                <w:bCs/>
                <w:color w:val="FFFFFF" w:themeColor="background1"/>
                <w:sz w:val="24"/>
                <w:szCs w:val="24"/>
                <w:lang w:eastAsia="lv-LV"/>
              </w:rPr>
            </w:pPr>
            <w:r w:rsidRPr="00645203">
              <w:rPr>
                <w:rFonts w:ascii="Times New Roman" w:eastAsia="Calibri" w:hAnsi="Times New Roman" w:cs="Times New Roman"/>
                <w:b/>
                <w:bCs/>
                <w:color w:val="FFFFFF" w:themeColor="background1"/>
                <w:sz w:val="24"/>
                <w:szCs w:val="24"/>
                <w:lang w:eastAsia="lv-LV"/>
              </w:rPr>
              <w:t>Nr.</w:t>
            </w:r>
          </w:p>
          <w:p w14:paraId="5B3058D0" w14:textId="77777777" w:rsidR="0051766A" w:rsidRPr="00645203" w:rsidRDefault="0051766A" w:rsidP="0078606C">
            <w:pPr>
              <w:spacing w:after="0" w:line="240" w:lineRule="auto"/>
              <w:jc w:val="center"/>
              <w:rPr>
                <w:rFonts w:ascii="Times New Roman" w:eastAsia="Calibri" w:hAnsi="Times New Roman" w:cs="Times New Roman"/>
                <w:b/>
                <w:bCs/>
                <w:color w:val="FFFFFF" w:themeColor="background1"/>
                <w:sz w:val="24"/>
                <w:szCs w:val="24"/>
                <w:lang w:eastAsia="lv-LV"/>
              </w:rPr>
            </w:pPr>
            <w:r w:rsidRPr="00645203">
              <w:rPr>
                <w:rFonts w:ascii="Times New Roman" w:eastAsia="Calibri" w:hAnsi="Times New Roman" w:cs="Times New Roman"/>
                <w:b/>
                <w:bCs/>
                <w:color w:val="FFFFFF" w:themeColor="background1"/>
                <w:sz w:val="24"/>
                <w:szCs w:val="24"/>
                <w:lang w:eastAsia="lv-LV"/>
              </w:rPr>
              <w:t>p.k.</w:t>
            </w:r>
          </w:p>
        </w:tc>
        <w:tc>
          <w:tcPr>
            <w:tcW w:w="4110" w:type="dxa"/>
            <w:tcBorders>
              <w:top w:val="single" w:sz="8" w:space="0" w:color="auto"/>
              <w:left w:val="single" w:sz="8" w:space="0" w:color="auto"/>
              <w:bottom w:val="single" w:sz="8" w:space="0" w:color="auto"/>
              <w:right w:val="single" w:sz="8" w:space="0" w:color="auto"/>
            </w:tcBorders>
            <w:shd w:val="clear" w:color="auto" w:fill="525A72" w:themeFill="accent2"/>
            <w:noWrap/>
            <w:vAlign w:val="center"/>
          </w:tcPr>
          <w:p w14:paraId="68CC0185" w14:textId="77777777" w:rsidR="0051766A" w:rsidRPr="00645203" w:rsidRDefault="0051766A" w:rsidP="0078606C">
            <w:pPr>
              <w:spacing w:after="0" w:line="240" w:lineRule="auto"/>
              <w:jc w:val="center"/>
              <w:rPr>
                <w:rFonts w:ascii="Times New Roman" w:eastAsia="Calibri" w:hAnsi="Times New Roman" w:cs="Times New Roman"/>
                <w:b/>
                <w:bCs/>
                <w:color w:val="FFFFFF" w:themeColor="background1"/>
                <w:sz w:val="24"/>
                <w:szCs w:val="24"/>
                <w:lang w:eastAsia="lv-LV"/>
              </w:rPr>
            </w:pPr>
            <w:r w:rsidRPr="00645203">
              <w:rPr>
                <w:rFonts w:ascii="Times New Roman" w:eastAsia="Calibri" w:hAnsi="Times New Roman" w:cs="Times New Roman"/>
                <w:b/>
                <w:bCs/>
                <w:color w:val="FFFFFF" w:themeColor="background1"/>
                <w:sz w:val="24"/>
                <w:szCs w:val="24"/>
                <w:lang w:eastAsia="lv-LV"/>
              </w:rPr>
              <w:t>Pasūtītāja prasības pretendentam (specifikācija)</w:t>
            </w:r>
            <w:r w:rsidRPr="00645203">
              <w:rPr>
                <w:color w:val="FFFFFF" w:themeColor="background1"/>
              </w:rPr>
              <w:t xml:space="preserve"> </w:t>
            </w:r>
          </w:p>
        </w:tc>
        <w:tc>
          <w:tcPr>
            <w:tcW w:w="4536" w:type="dxa"/>
            <w:tcBorders>
              <w:top w:val="single" w:sz="8" w:space="0" w:color="auto"/>
              <w:left w:val="single" w:sz="8" w:space="0" w:color="auto"/>
              <w:bottom w:val="single" w:sz="8" w:space="0" w:color="auto"/>
              <w:right w:val="single" w:sz="8" w:space="0" w:color="auto"/>
            </w:tcBorders>
            <w:shd w:val="clear" w:color="auto" w:fill="525A72" w:themeFill="accent2"/>
            <w:vAlign w:val="center"/>
          </w:tcPr>
          <w:p w14:paraId="756342F9" w14:textId="77777777" w:rsidR="0051766A" w:rsidRPr="00645203" w:rsidRDefault="0051766A" w:rsidP="0078606C">
            <w:pPr>
              <w:spacing w:after="0" w:line="240" w:lineRule="auto"/>
              <w:jc w:val="center"/>
              <w:rPr>
                <w:rFonts w:ascii="Times New Roman" w:eastAsia="Calibri" w:hAnsi="Times New Roman" w:cs="Times New Roman"/>
                <w:b/>
                <w:bCs/>
                <w:color w:val="FFFFFF" w:themeColor="background1"/>
                <w:sz w:val="24"/>
                <w:szCs w:val="24"/>
                <w:lang w:eastAsia="lv-LV"/>
              </w:rPr>
            </w:pPr>
            <w:r w:rsidRPr="0051766A">
              <w:rPr>
                <w:rFonts w:ascii="Times New Roman" w:eastAsia="Calibri" w:hAnsi="Times New Roman" w:cs="Times New Roman"/>
                <w:b/>
                <w:bCs/>
                <w:color w:val="FFFFFF" w:themeColor="background1"/>
                <w:sz w:val="24"/>
                <w:szCs w:val="24"/>
                <w:lang w:eastAsia="lv-LV"/>
              </w:rPr>
              <w:t>Pretendenta tehniskais piedāvājums (detalizēts apraksts, aizpilda pretendents)</w:t>
            </w:r>
          </w:p>
        </w:tc>
      </w:tr>
      <w:tr w:rsidR="0051766A" w:rsidRPr="00FD6207" w14:paraId="3FE129B1" w14:textId="77777777" w:rsidTr="00FA5439">
        <w:tblPrEx>
          <w:tblCellMar>
            <w:left w:w="108" w:type="dxa"/>
            <w:right w:w="108" w:type="dxa"/>
          </w:tblCellMar>
          <w:tblLook w:val="0000" w:firstRow="0" w:lastRow="0" w:firstColumn="0" w:lastColumn="0" w:noHBand="0" w:noVBand="0"/>
        </w:tblPrEx>
        <w:trPr>
          <w:trHeight w:val="880"/>
        </w:trPr>
        <w:tc>
          <w:tcPr>
            <w:tcW w:w="710" w:type="dxa"/>
            <w:tcBorders>
              <w:top w:val="single" w:sz="4" w:space="0" w:color="000000"/>
              <w:left w:val="single" w:sz="4" w:space="0" w:color="000000"/>
              <w:bottom w:val="single" w:sz="4" w:space="0" w:color="auto"/>
            </w:tcBorders>
            <w:shd w:val="clear" w:color="auto" w:fill="auto"/>
          </w:tcPr>
          <w:p w14:paraId="256BE1C4" w14:textId="77777777" w:rsidR="0051766A" w:rsidRPr="00FD6207" w:rsidRDefault="0051766A" w:rsidP="00FD6207">
            <w:pPr>
              <w:snapToGrid w:val="0"/>
              <w:spacing w:after="0" w:line="240" w:lineRule="auto"/>
              <w:jc w:val="both"/>
              <w:rPr>
                <w:rFonts w:ascii="Times New Roman" w:eastAsia="Times New Roman" w:hAnsi="Times New Roman" w:cs="Times New Roman"/>
                <w:sz w:val="24"/>
                <w:szCs w:val="24"/>
              </w:rPr>
            </w:pPr>
            <w:r w:rsidRPr="00FD6207">
              <w:rPr>
                <w:rFonts w:ascii="Times New Roman" w:eastAsia="Times New Roman" w:hAnsi="Times New Roman" w:cs="Times New Roman"/>
                <w:sz w:val="24"/>
                <w:szCs w:val="24"/>
              </w:rPr>
              <w:t xml:space="preserve">1. </w:t>
            </w:r>
          </w:p>
        </w:tc>
        <w:tc>
          <w:tcPr>
            <w:tcW w:w="8646" w:type="dxa"/>
            <w:gridSpan w:val="2"/>
            <w:tcBorders>
              <w:top w:val="single" w:sz="4" w:space="0" w:color="000000"/>
              <w:left w:val="single" w:sz="4" w:space="0" w:color="000000"/>
              <w:bottom w:val="single" w:sz="4" w:space="0" w:color="auto"/>
              <w:right w:val="single" w:sz="4" w:space="0" w:color="auto"/>
            </w:tcBorders>
            <w:shd w:val="clear" w:color="auto" w:fill="auto"/>
          </w:tcPr>
          <w:p w14:paraId="36C0E629" w14:textId="77777777" w:rsidR="0051766A" w:rsidRPr="00FD6207" w:rsidRDefault="0051766A" w:rsidP="0072305C">
            <w:pPr>
              <w:snapToGrid w:val="0"/>
              <w:spacing w:after="60" w:line="240" w:lineRule="auto"/>
              <w:jc w:val="both"/>
              <w:rPr>
                <w:rFonts w:ascii="Times New Roman" w:eastAsia="Times New Roman" w:hAnsi="Times New Roman" w:cs="Times New Roman"/>
                <w:sz w:val="28"/>
                <w:szCs w:val="28"/>
              </w:rPr>
            </w:pPr>
            <w:r>
              <w:rPr>
                <w:rFonts w:ascii="Times New Roman" w:eastAsia="Calibri" w:hAnsi="Times New Roman" w:cs="Times New Roman"/>
                <w:b/>
                <w:sz w:val="24"/>
                <w:szCs w:val="24"/>
                <w:lang w:eastAsia="et-EE"/>
              </w:rPr>
              <w:t>Mērķis</w:t>
            </w:r>
          </w:p>
          <w:p w14:paraId="544A41CC" w14:textId="5AA99CA6" w:rsidR="0051766A" w:rsidRDefault="00F9329C" w:rsidP="0072305C">
            <w:pPr>
              <w:snapToGrid w:val="0"/>
              <w:spacing w:after="60" w:line="240" w:lineRule="auto"/>
              <w:jc w:val="both"/>
              <w:rPr>
                <w:rFonts w:ascii="Times New Roman" w:eastAsia="Calibri" w:hAnsi="Times New Roman" w:cs="Times New Roman"/>
                <w:sz w:val="24"/>
                <w:szCs w:val="24"/>
                <w:lang w:eastAsia="et-EE"/>
              </w:rPr>
            </w:pPr>
            <w:r>
              <w:rPr>
                <w:rFonts w:ascii="Times New Roman" w:eastAsia="Calibri" w:hAnsi="Times New Roman" w:cs="Times New Roman"/>
                <w:sz w:val="24"/>
                <w:szCs w:val="24"/>
                <w:lang w:eastAsia="et-EE"/>
              </w:rPr>
              <w:t>Noskaidrot Latvijas iedzīvotāju zināšanas, izpratni un attieksmi par ugunsdrošību</w:t>
            </w:r>
            <w:r w:rsidR="00A914D1">
              <w:rPr>
                <w:rFonts w:ascii="Times New Roman" w:eastAsia="Calibri" w:hAnsi="Times New Roman" w:cs="Times New Roman"/>
                <w:sz w:val="24"/>
                <w:szCs w:val="24"/>
                <w:lang w:eastAsia="et-EE"/>
              </w:rPr>
              <w:t>, civilo aizsardzību, agrīno brīdināšanu un vienoto ārkārtas palīdzības izsaukumu numuru 112.</w:t>
            </w:r>
          </w:p>
          <w:p w14:paraId="37EB74FB" w14:textId="2AF2893E" w:rsidR="00A914D1" w:rsidRDefault="00A914D1" w:rsidP="0072305C">
            <w:pPr>
              <w:snapToGrid w:val="0"/>
              <w:spacing w:after="60" w:line="240" w:lineRule="auto"/>
              <w:jc w:val="both"/>
              <w:rPr>
                <w:rFonts w:ascii="Times New Roman" w:eastAsia="Calibri" w:hAnsi="Times New Roman" w:cs="Times New Roman"/>
                <w:sz w:val="24"/>
                <w:szCs w:val="24"/>
                <w:lang w:eastAsia="et-EE"/>
              </w:rPr>
            </w:pPr>
            <w:r>
              <w:rPr>
                <w:rFonts w:ascii="Times New Roman" w:eastAsia="Calibri" w:hAnsi="Times New Roman" w:cs="Times New Roman"/>
                <w:sz w:val="24"/>
                <w:szCs w:val="24"/>
                <w:lang w:eastAsia="et-EE"/>
              </w:rPr>
              <w:t>Iegūtie rezultāti tiks salīdzināti ar 2025. gadā veiktās sabiedriskās domas aptaujas rezultātiem, lai novērtētu iedzīvotāju informētības izmaiņas.</w:t>
            </w:r>
          </w:p>
          <w:p w14:paraId="214A7116" w14:textId="7596BDD9" w:rsidR="003477C1" w:rsidRDefault="00A914D1" w:rsidP="00A914D1">
            <w:pPr>
              <w:snapToGrid w:val="0"/>
              <w:spacing w:after="60" w:line="240" w:lineRule="auto"/>
              <w:jc w:val="both"/>
              <w:rPr>
                <w:rFonts w:ascii="Times New Roman" w:eastAsia="Calibri" w:hAnsi="Times New Roman" w:cs="Times New Roman"/>
                <w:b/>
                <w:sz w:val="24"/>
                <w:szCs w:val="24"/>
                <w:lang w:eastAsia="et-EE"/>
              </w:rPr>
            </w:pPr>
            <w:r>
              <w:rPr>
                <w:rFonts w:ascii="Times New Roman" w:eastAsia="Calibri" w:hAnsi="Times New Roman" w:cs="Times New Roman"/>
                <w:sz w:val="24"/>
                <w:szCs w:val="24"/>
                <w:lang w:eastAsia="et-EE"/>
              </w:rPr>
              <w:t>Aptaujas rezultāti tiks izmantoti VUGD preventīvo, sabiedrības informēšanas un izglītošanas aktivitāšu plānošanai, tajā skaitā mērķauditoriju noteikšanai, informatīvo materiālu un komunikācijas kampaņu satura, kā arī komunikācijas pasākumu pilnveidošanai dažādām sabiedrības grupām.</w:t>
            </w:r>
          </w:p>
        </w:tc>
      </w:tr>
      <w:tr w:rsidR="0051766A" w:rsidRPr="00FD6207" w14:paraId="03368D9D" w14:textId="77777777" w:rsidTr="0051766A">
        <w:tblPrEx>
          <w:tblCellMar>
            <w:left w:w="108" w:type="dxa"/>
            <w:right w:w="108" w:type="dxa"/>
          </w:tblCellMar>
          <w:tblLook w:val="0000" w:firstRow="0" w:lastRow="0" w:firstColumn="0" w:lastColumn="0" w:noHBand="0" w:noVBand="0"/>
        </w:tblPrEx>
        <w:trPr>
          <w:trHeight w:val="610"/>
        </w:trPr>
        <w:tc>
          <w:tcPr>
            <w:tcW w:w="710" w:type="dxa"/>
            <w:tcBorders>
              <w:top w:val="single" w:sz="4" w:space="0" w:color="auto"/>
              <w:left w:val="single" w:sz="4" w:space="0" w:color="000000"/>
              <w:bottom w:val="single" w:sz="4" w:space="0" w:color="auto"/>
            </w:tcBorders>
            <w:shd w:val="clear" w:color="auto" w:fill="auto"/>
          </w:tcPr>
          <w:p w14:paraId="3C0936D4" w14:textId="77777777" w:rsidR="0051766A" w:rsidRPr="00FD6207" w:rsidRDefault="0051766A" w:rsidP="00FD6207">
            <w:pPr>
              <w:snapToGrid w:val="0"/>
              <w:spacing w:after="0" w:line="240" w:lineRule="auto"/>
              <w:jc w:val="both"/>
              <w:rPr>
                <w:rFonts w:ascii="Times New Roman" w:eastAsia="Times New Roman" w:hAnsi="Times New Roman" w:cs="Times New Roman"/>
                <w:sz w:val="24"/>
                <w:szCs w:val="24"/>
              </w:rPr>
            </w:pPr>
            <w:r w:rsidRPr="00FD6207">
              <w:rPr>
                <w:rFonts w:ascii="Times New Roman" w:eastAsia="Times New Roman" w:hAnsi="Times New Roman" w:cs="Times New Roman"/>
                <w:sz w:val="24"/>
                <w:szCs w:val="24"/>
              </w:rPr>
              <w:t>2.</w:t>
            </w:r>
          </w:p>
        </w:tc>
        <w:tc>
          <w:tcPr>
            <w:tcW w:w="4110" w:type="dxa"/>
            <w:tcBorders>
              <w:top w:val="single" w:sz="4" w:space="0" w:color="auto"/>
              <w:left w:val="single" w:sz="4" w:space="0" w:color="000000"/>
              <w:bottom w:val="single" w:sz="4" w:space="0" w:color="auto"/>
              <w:right w:val="single" w:sz="4" w:space="0" w:color="auto"/>
            </w:tcBorders>
            <w:shd w:val="clear" w:color="auto" w:fill="auto"/>
          </w:tcPr>
          <w:p w14:paraId="48894073" w14:textId="4BD4F4D4" w:rsidR="0051766A" w:rsidRPr="00E23A68" w:rsidRDefault="001177A1" w:rsidP="0051766A">
            <w:pPr>
              <w:spacing w:after="60" w:line="240" w:lineRule="auto"/>
              <w:rPr>
                <w:rFonts w:ascii="Times New Roman" w:eastAsia="Calibri" w:hAnsi="Times New Roman" w:cs="Times New Roman"/>
                <w:sz w:val="24"/>
                <w:szCs w:val="24"/>
                <w:lang w:eastAsia="et-EE"/>
              </w:rPr>
            </w:pPr>
            <w:r>
              <w:rPr>
                <w:rFonts w:ascii="Times New Roman" w:eastAsia="Calibri" w:hAnsi="Times New Roman" w:cs="Times New Roman"/>
                <w:b/>
                <w:sz w:val="24"/>
                <w:szCs w:val="24"/>
                <w:lang w:eastAsia="et-EE"/>
              </w:rPr>
              <w:t>Izlase</w:t>
            </w:r>
          </w:p>
          <w:p w14:paraId="5C753E39" w14:textId="243ABB4E" w:rsidR="00A914D1" w:rsidRDefault="00A914D1" w:rsidP="00FD620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Latvijas iedzīvotāji vecumā no 15 gadiem.</w:t>
            </w:r>
          </w:p>
          <w:p w14:paraId="7C30659E" w14:textId="5774A9C6" w:rsidR="00A914D1" w:rsidRDefault="00A914D1" w:rsidP="00FD620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Aptauja veicama, izmantojot reprezentatīvu stratificētu izlasi un nejaušās izlases principus, piemērojot datorizētas telefonintervijas (CATI).</w:t>
            </w:r>
          </w:p>
          <w:p w14:paraId="31A1FABB" w14:textId="28D44F2F" w:rsidR="00A914D1" w:rsidRDefault="00973099" w:rsidP="00FD620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Izlase veidojama proporcionāli aktuālajiem Latvijas iedzīvotāju demogrāfiskajiem rādītājiem, nodrošinot reprezentativitāti pēc vecuma, dzimuma, reģiona</w:t>
            </w:r>
            <w:r w:rsidR="00CC5D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un </w:t>
            </w:r>
            <w:r w:rsidR="00CC5DB7">
              <w:rPr>
                <w:rFonts w:ascii="Times New Roman" w:eastAsia="Times New Roman" w:hAnsi="Times New Roman" w:cs="Times New Roman"/>
                <w:sz w:val="24"/>
                <w:szCs w:val="24"/>
              </w:rPr>
              <w:t>tautības.</w:t>
            </w:r>
          </w:p>
          <w:p w14:paraId="0BC8BE0A" w14:textId="3C92EE91" w:rsidR="00A914D1" w:rsidRDefault="00973099" w:rsidP="00FD620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Papildus iegūstami </w:t>
            </w:r>
            <w:r w:rsidR="00075AEB">
              <w:rPr>
                <w:rFonts w:ascii="Times New Roman" w:eastAsia="Times New Roman" w:hAnsi="Times New Roman" w:cs="Times New Roman"/>
                <w:sz w:val="24"/>
                <w:szCs w:val="24"/>
              </w:rPr>
              <w:t xml:space="preserve">respondentu </w:t>
            </w:r>
            <w:proofErr w:type="spellStart"/>
            <w:r w:rsidR="00075AEB">
              <w:rPr>
                <w:rFonts w:ascii="Times New Roman" w:eastAsia="Times New Roman" w:hAnsi="Times New Roman" w:cs="Times New Roman"/>
                <w:sz w:val="24"/>
                <w:szCs w:val="24"/>
              </w:rPr>
              <w:t>sociāldemogrāfiskie</w:t>
            </w:r>
            <w:proofErr w:type="spellEnd"/>
            <w:r w:rsidR="00075A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dati par </w:t>
            </w:r>
            <w:r w:rsidR="00E23A68">
              <w:rPr>
                <w:rFonts w:ascii="Times New Roman" w:eastAsia="Times New Roman" w:hAnsi="Times New Roman" w:cs="Times New Roman"/>
                <w:sz w:val="24"/>
                <w:szCs w:val="24"/>
              </w:rPr>
              <w:t>izglītību</w:t>
            </w:r>
            <w:r>
              <w:rPr>
                <w:rFonts w:ascii="Times New Roman" w:eastAsia="Times New Roman" w:hAnsi="Times New Roman" w:cs="Times New Roman"/>
                <w:sz w:val="24"/>
                <w:szCs w:val="24"/>
              </w:rPr>
              <w:t xml:space="preserve">, nodarbinātības statusu, </w:t>
            </w:r>
            <w:r w:rsidR="00E23A68">
              <w:rPr>
                <w:rFonts w:ascii="Times New Roman" w:eastAsia="Times New Roman" w:hAnsi="Times New Roman" w:cs="Times New Roman"/>
                <w:sz w:val="24"/>
                <w:szCs w:val="24"/>
              </w:rPr>
              <w:t>apdzīvot</w:t>
            </w:r>
            <w:r w:rsidR="001A0893">
              <w:rPr>
                <w:rFonts w:ascii="Times New Roman" w:eastAsia="Times New Roman" w:hAnsi="Times New Roman" w:cs="Times New Roman"/>
                <w:sz w:val="24"/>
                <w:szCs w:val="24"/>
              </w:rPr>
              <w:t>ā</w:t>
            </w:r>
            <w:r w:rsidR="00E23A68">
              <w:rPr>
                <w:rFonts w:ascii="Times New Roman" w:eastAsia="Times New Roman" w:hAnsi="Times New Roman" w:cs="Times New Roman"/>
                <w:sz w:val="24"/>
                <w:szCs w:val="24"/>
              </w:rPr>
              <w:t>s vietas tip</w:t>
            </w:r>
            <w:r w:rsidR="004B6F62">
              <w:rPr>
                <w:rFonts w:ascii="Times New Roman" w:eastAsia="Times New Roman" w:hAnsi="Times New Roman" w:cs="Times New Roman"/>
                <w:sz w:val="24"/>
                <w:szCs w:val="24"/>
              </w:rPr>
              <w:t>u</w:t>
            </w:r>
            <w:r w:rsidR="00E23A6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mājokļa </w:t>
            </w:r>
            <w:r w:rsidR="00E23A68">
              <w:rPr>
                <w:rFonts w:ascii="Times New Roman" w:eastAsia="Times New Roman" w:hAnsi="Times New Roman" w:cs="Times New Roman"/>
                <w:sz w:val="24"/>
                <w:szCs w:val="24"/>
              </w:rPr>
              <w:t>tip</w:t>
            </w:r>
            <w:r w:rsidR="00075AEB">
              <w:rPr>
                <w:rFonts w:ascii="Times New Roman" w:eastAsia="Times New Roman" w:hAnsi="Times New Roman" w:cs="Times New Roman"/>
                <w:sz w:val="24"/>
                <w:szCs w:val="24"/>
              </w:rPr>
              <w:t>u</w:t>
            </w:r>
            <w:r w:rsidR="00310372">
              <w:rPr>
                <w:rFonts w:ascii="Times New Roman" w:eastAsia="Times New Roman" w:hAnsi="Times New Roman" w:cs="Times New Roman"/>
                <w:sz w:val="24"/>
                <w:szCs w:val="24"/>
              </w:rPr>
              <w:t xml:space="preserve"> un</w:t>
            </w:r>
            <w:r>
              <w:rPr>
                <w:rFonts w:ascii="Times New Roman" w:eastAsia="Times New Roman" w:hAnsi="Times New Roman" w:cs="Times New Roman"/>
                <w:sz w:val="24"/>
                <w:szCs w:val="24"/>
              </w:rPr>
              <w:t xml:space="preserve"> </w:t>
            </w:r>
            <w:r w:rsidR="00E23A68">
              <w:rPr>
                <w:rFonts w:ascii="Times New Roman" w:eastAsia="Times New Roman" w:hAnsi="Times New Roman" w:cs="Times New Roman"/>
                <w:sz w:val="24"/>
                <w:szCs w:val="24"/>
              </w:rPr>
              <w:t>b</w:t>
            </w:r>
            <w:r>
              <w:rPr>
                <w:rFonts w:ascii="Times New Roman" w:eastAsia="Times New Roman" w:hAnsi="Times New Roman" w:cs="Times New Roman"/>
                <w:sz w:val="24"/>
                <w:szCs w:val="24"/>
              </w:rPr>
              <w:t>ērnu līdz 18 gadu vecumam esamību mājsaimniecībā</w:t>
            </w:r>
            <w:r w:rsidR="00310372">
              <w:rPr>
                <w:rFonts w:ascii="Times New Roman" w:eastAsia="Times New Roman" w:hAnsi="Times New Roman" w:cs="Times New Roman"/>
                <w:sz w:val="24"/>
                <w:szCs w:val="24"/>
              </w:rPr>
              <w:t>.</w:t>
            </w:r>
            <w:r w:rsidR="00075AEB">
              <w:rPr>
                <w:rFonts w:ascii="Times New Roman" w:eastAsia="Times New Roman" w:hAnsi="Times New Roman" w:cs="Times New Roman"/>
                <w:sz w:val="24"/>
                <w:szCs w:val="24"/>
              </w:rPr>
              <w:t xml:space="preserve"> </w:t>
            </w:r>
          </w:p>
          <w:p w14:paraId="0C689F10" w14:textId="151A6D4C" w:rsidR="00AD0E54" w:rsidRPr="0067517F" w:rsidRDefault="00973099" w:rsidP="00FD6207">
            <w:pPr>
              <w:spacing w:after="0" w:line="240" w:lineRule="auto"/>
              <w:jc w:val="both"/>
              <w:rPr>
                <w:rFonts w:ascii="Times New Roman" w:eastAsia="Times New Roman" w:hAnsi="Times New Roman" w:cs="Times New Roman"/>
                <w:sz w:val="24"/>
                <w:szCs w:val="24"/>
              </w:rPr>
            </w:pPr>
            <w:r w:rsidRPr="00973099">
              <w:rPr>
                <w:rFonts w:ascii="Times New Roman" w:eastAsia="Times New Roman" w:hAnsi="Times New Roman" w:cs="Times New Roman"/>
                <w:sz w:val="24"/>
                <w:szCs w:val="24"/>
              </w:rPr>
              <w:t>Pēc datu ieguves Iz</w:t>
            </w:r>
            <w:r>
              <w:rPr>
                <w:rFonts w:ascii="Times New Roman" w:eastAsia="Times New Roman" w:hAnsi="Times New Roman" w:cs="Times New Roman"/>
                <w:sz w:val="24"/>
                <w:szCs w:val="24"/>
              </w:rPr>
              <w:t>p</w:t>
            </w:r>
            <w:r w:rsidRPr="00973099">
              <w:rPr>
                <w:rFonts w:ascii="Times New Roman" w:eastAsia="Times New Roman" w:hAnsi="Times New Roman" w:cs="Times New Roman"/>
                <w:sz w:val="24"/>
                <w:szCs w:val="24"/>
              </w:rPr>
              <w:t xml:space="preserve">ildītājs veic datu svēršanu atbilstoši Centrālās statistikas pārvaldes demogrāfiskajiem </w:t>
            </w:r>
            <w:r w:rsidRPr="0067517F">
              <w:rPr>
                <w:rFonts w:ascii="Times New Roman" w:eastAsia="Times New Roman" w:hAnsi="Times New Roman" w:cs="Times New Roman"/>
                <w:sz w:val="24"/>
                <w:szCs w:val="24"/>
              </w:rPr>
              <w:t>rādītājiem.</w:t>
            </w:r>
          </w:p>
          <w:p w14:paraId="547A6906" w14:textId="336A946F" w:rsidR="0067517F" w:rsidRPr="00FD6207" w:rsidRDefault="0067517F" w:rsidP="00E23A68">
            <w:pPr>
              <w:spacing w:after="0" w:line="240" w:lineRule="auto"/>
              <w:jc w:val="both"/>
              <w:rPr>
                <w:rFonts w:ascii="Times New Roman" w:eastAsia="Times New Roman" w:hAnsi="Times New Roman" w:cs="Times New Roman"/>
                <w:b/>
                <w:sz w:val="28"/>
                <w:szCs w:val="28"/>
              </w:rPr>
            </w:pPr>
            <w:r w:rsidRPr="0067517F">
              <w:rPr>
                <w:rFonts w:ascii="Times New Roman" w:eastAsia="Times New Roman" w:hAnsi="Times New Roman" w:cs="Times New Roman"/>
                <w:szCs w:val="28"/>
              </w:rPr>
              <w:t>Aptaujā iegūstamas vismaz 1100 derīgas intervijas.</w:t>
            </w:r>
          </w:p>
        </w:tc>
        <w:tc>
          <w:tcPr>
            <w:tcW w:w="4536" w:type="dxa"/>
            <w:tcBorders>
              <w:top w:val="single" w:sz="4" w:space="0" w:color="auto"/>
              <w:left w:val="single" w:sz="4" w:space="0" w:color="000000"/>
              <w:bottom w:val="single" w:sz="4" w:space="0" w:color="auto"/>
              <w:right w:val="single" w:sz="4" w:space="0" w:color="auto"/>
            </w:tcBorders>
          </w:tcPr>
          <w:p w14:paraId="355975D8" w14:textId="77777777" w:rsidR="0051766A" w:rsidRDefault="0051766A" w:rsidP="0072305C">
            <w:pPr>
              <w:spacing w:after="60" w:line="240" w:lineRule="auto"/>
              <w:jc w:val="both"/>
              <w:rPr>
                <w:rFonts w:ascii="Times New Roman" w:eastAsia="Calibri" w:hAnsi="Times New Roman" w:cs="Times New Roman"/>
                <w:b/>
                <w:sz w:val="24"/>
                <w:szCs w:val="24"/>
                <w:lang w:eastAsia="et-EE"/>
              </w:rPr>
            </w:pPr>
          </w:p>
          <w:p w14:paraId="677FDF62" w14:textId="77777777" w:rsidR="00263198" w:rsidRDefault="00263198" w:rsidP="0072305C">
            <w:pPr>
              <w:spacing w:after="60" w:line="240" w:lineRule="auto"/>
              <w:jc w:val="both"/>
              <w:rPr>
                <w:rFonts w:ascii="Times New Roman" w:eastAsia="Calibri" w:hAnsi="Times New Roman" w:cs="Times New Roman"/>
                <w:b/>
                <w:sz w:val="24"/>
                <w:szCs w:val="24"/>
                <w:lang w:eastAsia="et-EE"/>
              </w:rPr>
            </w:pPr>
          </w:p>
          <w:p w14:paraId="17DF2CD1" w14:textId="77777777" w:rsidR="00263198" w:rsidRDefault="00263198" w:rsidP="0072305C">
            <w:pPr>
              <w:spacing w:after="60" w:line="240" w:lineRule="auto"/>
              <w:jc w:val="both"/>
              <w:rPr>
                <w:rFonts w:ascii="Times New Roman" w:eastAsia="Calibri" w:hAnsi="Times New Roman" w:cs="Times New Roman"/>
                <w:b/>
                <w:sz w:val="24"/>
                <w:szCs w:val="24"/>
                <w:lang w:eastAsia="et-EE"/>
              </w:rPr>
            </w:pPr>
          </w:p>
          <w:p w14:paraId="771BDE92" w14:textId="61B28386" w:rsidR="00263198" w:rsidRDefault="00263198" w:rsidP="00E23A68">
            <w:pPr>
              <w:spacing w:before="100" w:beforeAutospacing="1" w:after="100" w:afterAutospacing="1" w:line="240" w:lineRule="auto"/>
              <w:rPr>
                <w:rFonts w:ascii="Times New Roman" w:eastAsia="Calibri" w:hAnsi="Times New Roman" w:cs="Times New Roman"/>
                <w:b/>
                <w:sz w:val="24"/>
                <w:szCs w:val="24"/>
                <w:lang w:eastAsia="et-EE"/>
              </w:rPr>
            </w:pPr>
          </w:p>
        </w:tc>
      </w:tr>
      <w:tr w:rsidR="0051766A" w:rsidRPr="00FD6207" w14:paraId="54B1E4F5" w14:textId="77777777" w:rsidTr="0051766A">
        <w:tblPrEx>
          <w:tblCellMar>
            <w:left w:w="108" w:type="dxa"/>
            <w:right w:w="108" w:type="dxa"/>
          </w:tblCellMar>
          <w:tblLook w:val="0000" w:firstRow="0" w:lastRow="0" w:firstColumn="0" w:lastColumn="0" w:noHBand="0" w:noVBand="0"/>
        </w:tblPrEx>
        <w:trPr>
          <w:trHeight w:val="613"/>
        </w:trPr>
        <w:tc>
          <w:tcPr>
            <w:tcW w:w="710" w:type="dxa"/>
            <w:tcBorders>
              <w:top w:val="single" w:sz="4" w:space="0" w:color="auto"/>
              <w:left w:val="single" w:sz="4" w:space="0" w:color="000000"/>
              <w:bottom w:val="single" w:sz="4" w:space="0" w:color="000000"/>
            </w:tcBorders>
            <w:shd w:val="clear" w:color="auto" w:fill="auto"/>
          </w:tcPr>
          <w:p w14:paraId="5EE37C33" w14:textId="77777777" w:rsidR="0051766A" w:rsidRPr="00FD6207" w:rsidRDefault="0051766A" w:rsidP="00FD6207">
            <w:pPr>
              <w:snapToGrid w:val="0"/>
              <w:spacing w:after="0" w:line="240" w:lineRule="auto"/>
              <w:jc w:val="both"/>
              <w:rPr>
                <w:rFonts w:ascii="Times New Roman" w:eastAsia="Times New Roman" w:hAnsi="Times New Roman" w:cs="Times New Roman"/>
                <w:sz w:val="24"/>
                <w:szCs w:val="24"/>
              </w:rPr>
            </w:pPr>
            <w:r w:rsidRPr="00FD6207">
              <w:rPr>
                <w:rFonts w:ascii="Times New Roman" w:eastAsia="Times New Roman" w:hAnsi="Times New Roman" w:cs="Times New Roman"/>
                <w:sz w:val="24"/>
                <w:szCs w:val="24"/>
              </w:rPr>
              <w:lastRenderedPageBreak/>
              <w:t>3.</w:t>
            </w:r>
          </w:p>
        </w:tc>
        <w:tc>
          <w:tcPr>
            <w:tcW w:w="4110" w:type="dxa"/>
            <w:tcBorders>
              <w:top w:val="single" w:sz="4" w:space="0" w:color="auto"/>
              <w:left w:val="single" w:sz="4" w:space="0" w:color="000000"/>
              <w:bottom w:val="single" w:sz="4" w:space="0" w:color="000000"/>
              <w:right w:val="single" w:sz="4" w:space="0" w:color="auto"/>
            </w:tcBorders>
            <w:shd w:val="clear" w:color="auto" w:fill="auto"/>
          </w:tcPr>
          <w:p w14:paraId="5820AB43" w14:textId="3E4ABD6B" w:rsidR="0051766A" w:rsidRPr="009836E2" w:rsidRDefault="001177A1" w:rsidP="0072305C">
            <w:pPr>
              <w:spacing w:after="60" w:line="240" w:lineRule="auto"/>
              <w:jc w:val="both"/>
              <w:rPr>
                <w:rFonts w:ascii="Times New Roman" w:eastAsia="Calibri" w:hAnsi="Times New Roman" w:cs="Times New Roman"/>
                <w:b/>
                <w:sz w:val="24"/>
                <w:szCs w:val="24"/>
                <w:lang w:eastAsia="et-EE"/>
              </w:rPr>
            </w:pPr>
            <w:r>
              <w:rPr>
                <w:rFonts w:ascii="Times New Roman" w:eastAsia="Calibri" w:hAnsi="Times New Roman" w:cs="Times New Roman"/>
                <w:b/>
                <w:sz w:val="24"/>
                <w:szCs w:val="24"/>
                <w:lang w:eastAsia="et-EE"/>
              </w:rPr>
              <w:t>Aptaujas metodoloģija un īstenošana</w:t>
            </w:r>
          </w:p>
          <w:p w14:paraId="17190F18" w14:textId="4F2E8F94" w:rsidR="0067517F" w:rsidRDefault="0067517F" w:rsidP="003A7305">
            <w:pPr>
              <w:spacing w:after="0" w:line="240" w:lineRule="auto"/>
              <w:jc w:val="both"/>
              <w:rPr>
                <w:rFonts w:ascii="Times New Roman" w:eastAsia="Calibri" w:hAnsi="Times New Roman" w:cs="Times New Roman"/>
                <w:sz w:val="24"/>
                <w:szCs w:val="24"/>
                <w:lang w:eastAsia="et-EE"/>
              </w:rPr>
            </w:pPr>
            <w:r>
              <w:rPr>
                <w:rFonts w:ascii="Times New Roman" w:eastAsia="Calibri" w:hAnsi="Times New Roman" w:cs="Times New Roman"/>
                <w:sz w:val="24"/>
                <w:szCs w:val="24"/>
                <w:lang w:eastAsia="et-EE"/>
              </w:rPr>
              <w:t>Aptauja veicama, izmantojot datorizētas telefonintervijas (CATI).</w:t>
            </w:r>
          </w:p>
          <w:p w14:paraId="7857080C" w14:textId="186C9A0D" w:rsidR="0074366C" w:rsidRPr="003B5874" w:rsidRDefault="0067517F" w:rsidP="00075AEB">
            <w:pPr>
              <w:spacing w:after="0" w:line="240" w:lineRule="auto"/>
              <w:jc w:val="both"/>
              <w:rPr>
                <w:rFonts w:ascii="Times New Roman" w:eastAsia="Times New Roman" w:hAnsi="Times New Roman" w:cs="Times New Roman"/>
                <w:b/>
                <w:sz w:val="28"/>
                <w:szCs w:val="28"/>
              </w:rPr>
            </w:pPr>
            <w:r>
              <w:rPr>
                <w:rFonts w:ascii="Times New Roman" w:eastAsia="Calibri" w:hAnsi="Times New Roman" w:cs="Times New Roman"/>
                <w:sz w:val="24"/>
                <w:szCs w:val="24"/>
                <w:lang w:eastAsia="et-EE"/>
              </w:rPr>
              <w:t>Izpildītājs nodrošina aptaujas anketas programmēšanu, testēšanu, izlases izveidi, respondentu aptaujāšanu, lauka darba organizēšanu un kvalitātes kontroli, kā arī datu kvalitātes pārbaudi un sagatavošanu statistiskajai apstrādei.</w:t>
            </w:r>
          </w:p>
        </w:tc>
        <w:tc>
          <w:tcPr>
            <w:tcW w:w="4536" w:type="dxa"/>
            <w:tcBorders>
              <w:top w:val="single" w:sz="4" w:space="0" w:color="auto"/>
              <w:left w:val="single" w:sz="4" w:space="0" w:color="000000"/>
              <w:bottom w:val="single" w:sz="4" w:space="0" w:color="000000"/>
              <w:right w:val="single" w:sz="4" w:space="0" w:color="auto"/>
            </w:tcBorders>
          </w:tcPr>
          <w:p w14:paraId="3DDCA4FA" w14:textId="77777777" w:rsidR="0051766A" w:rsidRDefault="0051766A" w:rsidP="0072305C">
            <w:pPr>
              <w:spacing w:after="60" w:line="240" w:lineRule="auto"/>
              <w:jc w:val="both"/>
              <w:rPr>
                <w:rFonts w:ascii="Times New Roman" w:eastAsia="Calibri" w:hAnsi="Times New Roman" w:cs="Times New Roman"/>
                <w:b/>
                <w:sz w:val="24"/>
                <w:szCs w:val="24"/>
                <w:lang w:eastAsia="et-EE"/>
              </w:rPr>
            </w:pPr>
          </w:p>
        </w:tc>
      </w:tr>
      <w:tr w:rsidR="0051766A" w:rsidRPr="00FD6207" w14:paraId="5F1BAD5E" w14:textId="77777777" w:rsidTr="0051766A">
        <w:tblPrEx>
          <w:tblCellMar>
            <w:left w:w="108" w:type="dxa"/>
            <w:right w:w="108" w:type="dxa"/>
          </w:tblCellMar>
          <w:tblLook w:val="0000" w:firstRow="0" w:lastRow="0" w:firstColumn="0" w:lastColumn="0" w:noHBand="0" w:noVBand="0"/>
        </w:tblPrEx>
        <w:trPr>
          <w:trHeight w:val="1663"/>
        </w:trPr>
        <w:tc>
          <w:tcPr>
            <w:tcW w:w="710" w:type="dxa"/>
            <w:tcBorders>
              <w:top w:val="single" w:sz="4" w:space="0" w:color="auto"/>
              <w:left w:val="single" w:sz="4" w:space="0" w:color="000000"/>
              <w:bottom w:val="single" w:sz="4" w:space="0" w:color="000000"/>
            </w:tcBorders>
            <w:shd w:val="clear" w:color="auto" w:fill="auto"/>
          </w:tcPr>
          <w:p w14:paraId="47A9788D" w14:textId="77777777" w:rsidR="0051766A" w:rsidRPr="00FD6207" w:rsidRDefault="0051766A" w:rsidP="00FD6207">
            <w:pPr>
              <w:snapToGrid w:val="0"/>
              <w:spacing w:after="0" w:line="240" w:lineRule="auto"/>
              <w:jc w:val="both"/>
              <w:rPr>
                <w:rFonts w:ascii="Times New Roman" w:eastAsia="Times New Roman" w:hAnsi="Times New Roman" w:cs="Times New Roman"/>
                <w:sz w:val="24"/>
                <w:szCs w:val="24"/>
              </w:rPr>
            </w:pPr>
            <w:r w:rsidRPr="00FD6207">
              <w:rPr>
                <w:rFonts w:ascii="Times New Roman" w:eastAsia="Times New Roman" w:hAnsi="Times New Roman" w:cs="Times New Roman"/>
                <w:sz w:val="24"/>
                <w:szCs w:val="24"/>
              </w:rPr>
              <w:t xml:space="preserve">4. </w:t>
            </w:r>
          </w:p>
        </w:tc>
        <w:tc>
          <w:tcPr>
            <w:tcW w:w="4110" w:type="dxa"/>
            <w:tcBorders>
              <w:top w:val="single" w:sz="4" w:space="0" w:color="auto"/>
              <w:left w:val="single" w:sz="4" w:space="0" w:color="000000"/>
              <w:bottom w:val="single" w:sz="4" w:space="0" w:color="000000"/>
              <w:right w:val="single" w:sz="4" w:space="0" w:color="auto"/>
            </w:tcBorders>
            <w:shd w:val="clear" w:color="auto" w:fill="auto"/>
          </w:tcPr>
          <w:p w14:paraId="4B828221" w14:textId="77777777" w:rsidR="0051766A" w:rsidRPr="00BE5811" w:rsidRDefault="0051766A" w:rsidP="0072305C">
            <w:pPr>
              <w:spacing w:after="60" w:line="240" w:lineRule="auto"/>
              <w:jc w:val="both"/>
              <w:rPr>
                <w:rFonts w:ascii="Times New Roman" w:eastAsia="Calibri" w:hAnsi="Times New Roman" w:cs="Times New Roman"/>
                <w:b/>
                <w:sz w:val="24"/>
                <w:szCs w:val="24"/>
              </w:rPr>
            </w:pPr>
            <w:r w:rsidRPr="00BE5811">
              <w:rPr>
                <w:rFonts w:ascii="Times New Roman" w:eastAsia="Calibri" w:hAnsi="Times New Roman" w:cs="Times New Roman"/>
                <w:b/>
                <w:sz w:val="24"/>
                <w:szCs w:val="24"/>
              </w:rPr>
              <w:t>Aptaujas apjoms un saturs</w:t>
            </w:r>
          </w:p>
          <w:p w14:paraId="771D9497" w14:textId="6BC6F69C" w:rsidR="0067517F" w:rsidRDefault="0067517F" w:rsidP="0048124A">
            <w:pPr>
              <w:spacing w:after="60" w:line="240" w:lineRule="auto"/>
              <w:jc w:val="both"/>
              <w:rPr>
                <w:rFonts w:ascii="Times New Roman" w:eastAsia="Calibri" w:hAnsi="Times New Roman" w:cs="Times New Roman"/>
                <w:sz w:val="24"/>
                <w:szCs w:val="24"/>
                <w:lang w:eastAsia="et-EE"/>
              </w:rPr>
            </w:pPr>
            <w:r>
              <w:rPr>
                <w:rFonts w:ascii="Times New Roman" w:eastAsia="Calibri" w:hAnsi="Times New Roman" w:cs="Times New Roman"/>
                <w:sz w:val="24"/>
                <w:szCs w:val="24"/>
                <w:lang w:eastAsia="et-EE"/>
              </w:rPr>
              <w:t>Aptauja veicama, izmantojot Pasūtītāja sagatavoto aptaujas anketu (tehniskās specifikācijas pielikums Nr. 1).</w:t>
            </w:r>
          </w:p>
          <w:p w14:paraId="4AEFB548" w14:textId="7FF4B12E" w:rsidR="0067517F" w:rsidRDefault="0067517F" w:rsidP="0048124A">
            <w:pPr>
              <w:spacing w:after="60" w:line="240" w:lineRule="auto"/>
              <w:jc w:val="both"/>
              <w:rPr>
                <w:rFonts w:ascii="Times New Roman" w:eastAsia="Calibri" w:hAnsi="Times New Roman" w:cs="Times New Roman"/>
                <w:sz w:val="24"/>
                <w:szCs w:val="24"/>
                <w:lang w:eastAsia="et-EE"/>
              </w:rPr>
            </w:pPr>
            <w:r>
              <w:rPr>
                <w:rFonts w:ascii="Times New Roman" w:eastAsia="Calibri" w:hAnsi="Times New Roman" w:cs="Times New Roman"/>
                <w:sz w:val="24"/>
                <w:szCs w:val="24"/>
                <w:lang w:eastAsia="et-EE"/>
              </w:rPr>
              <w:t>Pirms aptaujas uzsākšanas Pasūtītājs un Izpildītājs var savstarpēji saskaņot precizējumus, nemainot jautājumu saturu un mērķi.</w:t>
            </w:r>
          </w:p>
          <w:p w14:paraId="693E3462" w14:textId="77C5771A" w:rsidR="0067517F" w:rsidRDefault="0067517F" w:rsidP="0048124A">
            <w:pPr>
              <w:spacing w:after="60" w:line="240" w:lineRule="auto"/>
              <w:jc w:val="both"/>
              <w:rPr>
                <w:rFonts w:ascii="Times New Roman" w:eastAsia="Calibri" w:hAnsi="Times New Roman" w:cs="Times New Roman"/>
                <w:sz w:val="24"/>
                <w:szCs w:val="24"/>
                <w:lang w:eastAsia="et-EE"/>
              </w:rPr>
            </w:pPr>
            <w:r>
              <w:rPr>
                <w:rFonts w:ascii="Times New Roman" w:eastAsia="Calibri" w:hAnsi="Times New Roman" w:cs="Times New Roman"/>
                <w:sz w:val="24"/>
                <w:szCs w:val="24"/>
                <w:lang w:eastAsia="et-EE"/>
              </w:rPr>
              <w:t>Aptaujas anketa ietver jautājumus par:</w:t>
            </w:r>
          </w:p>
          <w:p w14:paraId="6D772092" w14:textId="2A13A6D2" w:rsidR="0067517F" w:rsidRDefault="0067517F" w:rsidP="0067517F">
            <w:pPr>
              <w:pStyle w:val="ListParagraph"/>
              <w:numPr>
                <w:ilvl w:val="0"/>
                <w:numId w:val="7"/>
              </w:numPr>
              <w:spacing w:after="60" w:line="240" w:lineRule="auto"/>
              <w:jc w:val="both"/>
              <w:rPr>
                <w:rFonts w:ascii="Times New Roman" w:eastAsia="Calibri" w:hAnsi="Times New Roman" w:cs="Times New Roman"/>
                <w:sz w:val="24"/>
                <w:szCs w:val="24"/>
                <w:lang w:eastAsia="et-EE"/>
              </w:rPr>
            </w:pPr>
            <w:r>
              <w:rPr>
                <w:rFonts w:ascii="Times New Roman" w:eastAsia="Calibri" w:hAnsi="Times New Roman" w:cs="Times New Roman"/>
                <w:sz w:val="24"/>
                <w:szCs w:val="24"/>
                <w:lang w:eastAsia="et-EE"/>
              </w:rPr>
              <w:t>ugunsdrošību un preventīvajiem pasākumiem;</w:t>
            </w:r>
          </w:p>
          <w:p w14:paraId="4EF398C9" w14:textId="5AC2CA09" w:rsidR="0067517F" w:rsidRDefault="008C5F4B" w:rsidP="0067517F">
            <w:pPr>
              <w:pStyle w:val="ListParagraph"/>
              <w:numPr>
                <w:ilvl w:val="0"/>
                <w:numId w:val="7"/>
              </w:numPr>
              <w:spacing w:after="60" w:line="240" w:lineRule="auto"/>
              <w:jc w:val="both"/>
              <w:rPr>
                <w:rFonts w:ascii="Times New Roman" w:eastAsia="Calibri" w:hAnsi="Times New Roman" w:cs="Times New Roman"/>
                <w:sz w:val="24"/>
                <w:szCs w:val="24"/>
                <w:lang w:eastAsia="et-EE"/>
              </w:rPr>
            </w:pPr>
            <w:r>
              <w:rPr>
                <w:rFonts w:ascii="Times New Roman" w:eastAsia="Calibri" w:hAnsi="Times New Roman" w:cs="Times New Roman"/>
                <w:sz w:val="24"/>
                <w:szCs w:val="24"/>
                <w:lang w:eastAsia="et-EE"/>
              </w:rPr>
              <w:t>iedzīvotāju zināšanas par rīcību ugunsgrēka gadījumā;</w:t>
            </w:r>
          </w:p>
          <w:p w14:paraId="7DCDAC55" w14:textId="30C5B5D2" w:rsidR="008C5F4B" w:rsidRDefault="008C5F4B" w:rsidP="0067517F">
            <w:pPr>
              <w:pStyle w:val="ListParagraph"/>
              <w:numPr>
                <w:ilvl w:val="0"/>
                <w:numId w:val="7"/>
              </w:numPr>
              <w:spacing w:after="60" w:line="240" w:lineRule="auto"/>
              <w:jc w:val="both"/>
              <w:rPr>
                <w:rFonts w:ascii="Times New Roman" w:eastAsia="Calibri" w:hAnsi="Times New Roman" w:cs="Times New Roman"/>
                <w:sz w:val="24"/>
                <w:szCs w:val="24"/>
                <w:lang w:eastAsia="et-EE"/>
              </w:rPr>
            </w:pPr>
            <w:r>
              <w:rPr>
                <w:rFonts w:ascii="Times New Roman" w:eastAsia="Calibri" w:hAnsi="Times New Roman" w:cs="Times New Roman"/>
                <w:sz w:val="24"/>
                <w:szCs w:val="24"/>
                <w:lang w:eastAsia="et-EE"/>
              </w:rPr>
              <w:t>iedzīvotāju gatavību dabas un cilvēka izraisītajām katastrofām;</w:t>
            </w:r>
          </w:p>
          <w:p w14:paraId="2BDD1022" w14:textId="374B9C2B" w:rsidR="008C5F4B" w:rsidRDefault="008C5F4B" w:rsidP="0067517F">
            <w:pPr>
              <w:pStyle w:val="ListParagraph"/>
              <w:numPr>
                <w:ilvl w:val="0"/>
                <w:numId w:val="7"/>
              </w:numPr>
              <w:spacing w:after="60" w:line="240" w:lineRule="auto"/>
              <w:jc w:val="both"/>
              <w:rPr>
                <w:rFonts w:ascii="Times New Roman" w:eastAsia="Calibri" w:hAnsi="Times New Roman" w:cs="Times New Roman"/>
                <w:sz w:val="24"/>
                <w:szCs w:val="24"/>
                <w:lang w:eastAsia="et-EE"/>
              </w:rPr>
            </w:pPr>
            <w:r>
              <w:rPr>
                <w:rFonts w:ascii="Times New Roman" w:eastAsia="Calibri" w:hAnsi="Times New Roman" w:cs="Times New Roman"/>
                <w:sz w:val="24"/>
                <w:szCs w:val="24"/>
                <w:lang w:eastAsia="et-EE"/>
              </w:rPr>
              <w:t>agrīnās brīdināšanas sistēmu;</w:t>
            </w:r>
          </w:p>
          <w:p w14:paraId="34B35926" w14:textId="5D023879" w:rsidR="0074366C" w:rsidRPr="00BE5811" w:rsidRDefault="008C5F4B" w:rsidP="008C5F4B">
            <w:pPr>
              <w:pStyle w:val="ListParagraph"/>
              <w:numPr>
                <w:ilvl w:val="0"/>
                <w:numId w:val="7"/>
              </w:numPr>
              <w:spacing w:after="60" w:line="240" w:lineRule="auto"/>
              <w:jc w:val="both"/>
              <w:rPr>
                <w:rFonts w:ascii="Times New Roman" w:eastAsia="Times New Roman" w:hAnsi="Times New Roman" w:cs="Times New Roman"/>
                <w:sz w:val="28"/>
                <w:szCs w:val="28"/>
              </w:rPr>
            </w:pPr>
            <w:r>
              <w:rPr>
                <w:rFonts w:ascii="Times New Roman" w:eastAsia="Calibri" w:hAnsi="Times New Roman" w:cs="Times New Roman"/>
                <w:sz w:val="24"/>
                <w:szCs w:val="24"/>
                <w:lang w:eastAsia="et-EE"/>
              </w:rPr>
              <w:t>vienoto ārkārtas palīdzības izsaukumu numuru 112.</w:t>
            </w:r>
          </w:p>
        </w:tc>
        <w:tc>
          <w:tcPr>
            <w:tcW w:w="4536" w:type="dxa"/>
            <w:tcBorders>
              <w:top w:val="single" w:sz="4" w:space="0" w:color="auto"/>
              <w:left w:val="single" w:sz="4" w:space="0" w:color="000000"/>
              <w:bottom w:val="single" w:sz="4" w:space="0" w:color="000000"/>
              <w:right w:val="single" w:sz="4" w:space="0" w:color="auto"/>
            </w:tcBorders>
          </w:tcPr>
          <w:p w14:paraId="5F6FCD16" w14:textId="77777777" w:rsidR="0051766A" w:rsidRPr="00BE5811" w:rsidRDefault="0051766A" w:rsidP="0072305C">
            <w:pPr>
              <w:spacing w:after="60" w:line="240" w:lineRule="auto"/>
              <w:jc w:val="both"/>
              <w:rPr>
                <w:rFonts w:ascii="Times New Roman" w:eastAsia="Calibri" w:hAnsi="Times New Roman" w:cs="Times New Roman"/>
                <w:b/>
                <w:sz w:val="24"/>
                <w:szCs w:val="24"/>
              </w:rPr>
            </w:pPr>
          </w:p>
        </w:tc>
      </w:tr>
      <w:tr w:rsidR="0051766A" w:rsidRPr="00FD6207" w14:paraId="19D7200C" w14:textId="77777777" w:rsidTr="00310372">
        <w:tblPrEx>
          <w:tblCellMar>
            <w:left w:w="108" w:type="dxa"/>
            <w:right w:w="108" w:type="dxa"/>
          </w:tblCellMar>
          <w:tblLook w:val="0000" w:firstRow="0" w:lastRow="0" w:firstColumn="0" w:lastColumn="0" w:noHBand="0" w:noVBand="0"/>
        </w:tblPrEx>
        <w:trPr>
          <w:trHeight w:val="699"/>
        </w:trPr>
        <w:tc>
          <w:tcPr>
            <w:tcW w:w="710" w:type="dxa"/>
            <w:tcBorders>
              <w:top w:val="single" w:sz="4" w:space="0" w:color="auto"/>
              <w:left w:val="single" w:sz="4" w:space="0" w:color="000000"/>
              <w:bottom w:val="single" w:sz="4" w:space="0" w:color="auto"/>
            </w:tcBorders>
            <w:shd w:val="clear" w:color="auto" w:fill="auto"/>
          </w:tcPr>
          <w:p w14:paraId="43D6C9F6" w14:textId="77777777" w:rsidR="0051766A" w:rsidRPr="00FD6207" w:rsidRDefault="0051766A" w:rsidP="00FD6207">
            <w:pPr>
              <w:snapToGrid w:val="0"/>
              <w:spacing w:after="0" w:line="240" w:lineRule="auto"/>
              <w:jc w:val="both"/>
              <w:rPr>
                <w:rFonts w:ascii="Times New Roman" w:eastAsia="Times New Roman" w:hAnsi="Times New Roman" w:cs="Times New Roman"/>
                <w:sz w:val="24"/>
                <w:szCs w:val="24"/>
              </w:rPr>
            </w:pPr>
            <w:r w:rsidRPr="00FD6207">
              <w:rPr>
                <w:rFonts w:ascii="Times New Roman" w:eastAsia="Times New Roman" w:hAnsi="Times New Roman" w:cs="Times New Roman"/>
                <w:sz w:val="24"/>
                <w:szCs w:val="24"/>
              </w:rPr>
              <w:t>5.</w:t>
            </w:r>
          </w:p>
        </w:tc>
        <w:tc>
          <w:tcPr>
            <w:tcW w:w="4110" w:type="dxa"/>
            <w:tcBorders>
              <w:top w:val="single" w:sz="4" w:space="0" w:color="auto"/>
              <w:left w:val="single" w:sz="4" w:space="0" w:color="000000"/>
              <w:bottom w:val="single" w:sz="4" w:space="0" w:color="000000"/>
              <w:right w:val="single" w:sz="4" w:space="0" w:color="auto"/>
            </w:tcBorders>
            <w:shd w:val="clear" w:color="auto" w:fill="auto"/>
          </w:tcPr>
          <w:p w14:paraId="220EC1E7" w14:textId="25AE10F6" w:rsidR="0051766A" w:rsidRDefault="001177A1" w:rsidP="0072305C">
            <w:pPr>
              <w:tabs>
                <w:tab w:val="left" w:pos="426"/>
              </w:tabs>
              <w:spacing w:after="6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Pakalpojuma izpildes termiņš</w:t>
            </w:r>
          </w:p>
          <w:p w14:paraId="503BF1C4" w14:textId="77777777" w:rsidR="008C5F4B" w:rsidRDefault="006475D0" w:rsidP="00FD6207">
            <w:pPr>
              <w:tabs>
                <w:tab w:val="left" w:pos="426"/>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Aptauju plānots īstenot 2026. gada novembrī–decembrī.</w:t>
            </w:r>
          </w:p>
          <w:p w14:paraId="4D3181A9" w14:textId="1ECEDC60" w:rsidR="008C5F4B" w:rsidRDefault="008C5F4B" w:rsidP="00FD6207">
            <w:pPr>
              <w:tabs>
                <w:tab w:val="left" w:pos="426"/>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Respondentu aptaujāšan</w:t>
            </w:r>
            <w:r w:rsidR="0020621D">
              <w:rPr>
                <w:rFonts w:ascii="Times New Roman" w:eastAsia="Calibri" w:hAnsi="Times New Roman" w:cs="Times New Roman"/>
                <w:sz w:val="24"/>
                <w:szCs w:val="24"/>
              </w:rPr>
              <w:t>u</w:t>
            </w:r>
            <w:r>
              <w:rPr>
                <w:rFonts w:ascii="Times New Roman" w:eastAsia="Calibri" w:hAnsi="Times New Roman" w:cs="Times New Roman"/>
                <w:sz w:val="24"/>
                <w:szCs w:val="24"/>
              </w:rPr>
              <w:t xml:space="preserve"> jāuzsāk pēc trauksmes sirēnu un šūnu apraides sistēmas darbības pārbaudes. Precīzs aptaujas uzsākšanas datums tiks </w:t>
            </w:r>
            <w:r w:rsidR="00397D00">
              <w:rPr>
                <w:rFonts w:ascii="Times New Roman" w:eastAsia="Calibri" w:hAnsi="Times New Roman" w:cs="Times New Roman"/>
                <w:sz w:val="24"/>
                <w:szCs w:val="24"/>
              </w:rPr>
              <w:t>saskaņots ar Izpildītāju.</w:t>
            </w:r>
          </w:p>
          <w:p w14:paraId="00E8FE9C" w14:textId="0C7F4BD2" w:rsidR="00397D00" w:rsidRDefault="00397D00" w:rsidP="00FD6207">
            <w:pPr>
              <w:tabs>
                <w:tab w:val="left" w:pos="426"/>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Visas respondentu intervijas jāveic līdz 2026. gada 31. decembrim.</w:t>
            </w:r>
          </w:p>
          <w:p w14:paraId="1FAABB25" w14:textId="77777777" w:rsidR="00075AEB" w:rsidRDefault="00397D00" w:rsidP="00075AEB">
            <w:pPr>
              <w:tabs>
                <w:tab w:val="left" w:pos="426"/>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Pakalpojuma izpildes termiņš ir sešas nedēļas no līguma parakstīšanas dienas, </w:t>
            </w:r>
            <w:r w:rsidR="00075AEB">
              <w:rPr>
                <w:rFonts w:ascii="Times New Roman" w:eastAsia="Calibri" w:hAnsi="Times New Roman" w:cs="Times New Roman"/>
                <w:sz w:val="24"/>
                <w:szCs w:val="24"/>
              </w:rPr>
              <w:t xml:space="preserve">ievērojot šajā tehniskajā specifikācijā noteiktos aptaujas veikšanas termiņus. Pakalpojuma izpildes termiņā ietilpst sagatavošanās darbi, respondentu aptaujāšana, datu apstrāde, rezultātu analīze un atskaites sagatavošana un iesniegšana Pasūtītājam. </w:t>
            </w:r>
          </w:p>
          <w:p w14:paraId="2B318519" w14:textId="682DD27E" w:rsidR="002C6B22" w:rsidRPr="00B11488" w:rsidRDefault="00397D00" w:rsidP="00075AEB">
            <w:pPr>
              <w:tabs>
                <w:tab w:val="left" w:pos="426"/>
              </w:tabs>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Pakalpojums uzskatām</w:t>
            </w:r>
            <w:r w:rsidR="00234E09">
              <w:rPr>
                <w:rFonts w:ascii="Times New Roman" w:eastAsia="Calibri" w:hAnsi="Times New Roman" w:cs="Times New Roman"/>
                <w:sz w:val="24"/>
                <w:szCs w:val="24"/>
              </w:rPr>
              <w:t>s</w:t>
            </w:r>
            <w:r>
              <w:rPr>
                <w:rFonts w:ascii="Times New Roman" w:eastAsia="Calibri" w:hAnsi="Times New Roman" w:cs="Times New Roman"/>
                <w:sz w:val="24"/>
                <w:szCs w:val="24"/>
              </w:rPr>
              <w:t xml:space="preserve"> par izpildītu pēc aptaujas rezultātu pieņemšanas un </w:t>
            </w:r>
            <w:r>
              <w:rPr>
                <w:rFonts w:ascii="Times New Roman" w:eastAsia="Calibri" w:hAnsi="Times New Roman" w:cs="Times New Roman"/>
                <w:sz w:val="24"/>
                <w:szCs w:val="24"/>
              </w:rPr>
              <w:lastRenderedPageBreak/>
              <w:t>pieņemšanas-nodošanas akta parakstīšanas.</w:t>
            </w:r>
          </w:p>
        </w:tc>
        <w:tc>
          <w:tcPr>
            <w:tcW w:w="4536" w:type="dxa"/>
            <w:tcBorders>
              <w:top w:val="single" w:sz="4" w:space="0" w:color="auto"/>
              <w:left w:val="single" w:sz="4" w:space="0" w:color="000000"/>
              <w:bottom w:val="single" w:sz="4" w:space="0" w:color="000000"/>
              <w:right w:val="single" w:sz="4" w:space="0" w:color="auto"/>
            </w:tcBorders>
          </w:tcPr>
          <w:p w14:paraId="25CBE32E" w14:textId="73DA4CDC" w:rsidR="00075AEB" w:rsidRPr="003B5874" w:rsidRDefault="00075AEB" w:rsidP="00257209">
            <w:pPr>
              <w:spacing w:before="100" w:beforeAutospacing="1" w:after="100" w:afterAutospacing="1" w:line="240" w:lineRule="auto"/>
              <w:rPr>
                <w:rFonts w:ascii="Times New Roman" w:eastAsia="Calibri" w:hAnsi="Times New Roman" w:cs="Times New Roman"/>
                <w:b/>
                <w:sz w:val="24"/>
                <w:szCs w:val="24"/>
              </w:rPr>
            </w:pPr>
          </w:p>
        </w:tc>
      </w:tr>
      <w:tr w:rsidR="0051766A" w:rsidRPr="00FD6207" w14:paraId="45F00717" w14:textId="77777777" w:rsidTr="0051766A">
        <w:tblPrEx>
          <w:tblCellMar>
            <w:left w:w="108" w:type="dxa"/>
            <w:right w:w="108" w:type="dxa"/>
          </w:tblCellMar>
          <w:tblLook w:val="0000" w:firstRow="0" w:lastRow="0" w:firstColumn="0" w:lastColumn="0" w:noHBand="0" w:noVBand="0"/>
        </w:tblPrEx>
        <w:trPr>
          <w:trHeight w:val="1104"/>
        </w:trPr>
        <w:tc>
          <w:tcPr>
            <w:tcW w:w="710" w:type="dxa"/>
            <w:tcBorders>
              <w:top w:val="single" w:sz="4" w:space="0" w:color="auto"/>
              <w:left w:val="single" w:sz="4" w:space="0" w:color="000000"/>
              <w:bottom w:val="single" w:sz="4" w:space="0" w:color="000000"/>
              <w:right w:val="single" w:sz="4" w:space="0" w:color="auto"/>
            </w:tcBorders>
            <w:shd w:val="clear" w:color="auto" w:fill="auto"/>
          </w:tcPr>
          <w:p w14:paraId="6CF53902" w14:textId="77777777" w:rsidR="0051766A" w:rsidRPr="00FD6207" w:rsidRDefault="0051766A" w:rsidP="00FD6207">
            <w:pPr>
              <w:snapToGrid w:val="0"/>
              <w:spacing w:after="0" w:line="240" w:lineRule="auto"/>
              <w:jc w:val="both"/>
              <w:rPr>
                <w:rFonts w:ascii="Times New Roman" w:eastAsia="Times New Roman" w:hAnsi="Times New Roman" w:cs="Times New Roman"/>
                <w:sz w:val="24"/>
                <w:szCs w:val="24"/>
              </w:rPr>
            </w:pPr>
            <w:r w:rsidRPr="00FD6207">
              <w:rPr>
                <w:rFonts w:ascii="Times New Roman" w:eastAsia="Times New Roman" w:hAnsi="Times New Roman" w:cs="Times New Roman"/>
                <w:sz w:val="24"/>
                <w:szCs w:val="24"/>
              </w:rPr>
              <w:t>6.</w:t>
            </w:r>
          </w:p>
        </w:tc>
        <w:tc>
          <w:tcPr>
            <w:tcW w:w="4110" w:type="dxa"/>
            <w:tcBorders>
              <w:top w:val="single" w:sz="4" w:space="0" w:color="auto"/>
              <w:left w:val="single" w:sz="4" w:space="0" w:color="auto"/>
              <w:bottom w:val="single" w:sz="4" w:space="0" w:color="000000"/>
              <w:right w:val="single" w:sz="4" w:space="0" w:color="auto"/>
            </w:tcBorders>
            <w:shd w:val="clear" w:color="auto" w:fill="auto"/>
          </w:tcPr>
          <w:p w14:paraId="1698FAF7" w14:textId="77777777" w:rsidR="0051766A" w:rsidRPr="003B5874" w:rsidRDefault="0051766A" w:rsidP="0072305C">
            <w:pPr>
              <w:tabs>
                <w:tab w:val="left" w:pos="426"/>
              </w:tabs>
              <w:spacing w:after="60" w:line="240" w:lineRule="auto"/>
              <w:jc w:val="both"/>
              <w:rPr>
                <w:rFonts w:ascii="Times New Roman" w:eastAsia="Calibri" w:hAnsi="Times New Roman" w:cs="Times New Roman"/>
                <w:b/>
                <w:sz w:val="24"/>
                <w:szCs w:val="24"/>
              </w:rPr>
            </w:pPr>
            <w:r w:rsidRPr="003B5874">
              <w:rPr>
                <w:rFonts w:ascii="Times New Roman" w:eastAsia="Calibri" w:hAnsi="Times New Roman" w:cs="Times New Roman"/>
                <w:b/>
                <w:sz w:val="24"/>
                <w:szCs w:val="24"/>
              </w:rPr>
              <w:t xml:space="preserve">Datu apstrāde </w:t>
            </w:r>
          </w:p>
          <w:p w14:paraId="7360E81A" w14:textId="77777777" w:rsidR="006F43DB" w:rsidRDefault="00A7274C" w:rsidP="00D21CAA">
            <w:pPr>
              <w:tabs>
                <w:tab w:val="left" w:pos="426"/>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Izpildītājs veic iegūto datu statistisko apstrādi, tajā skaitā datu svēršanu atbilstoši tehniskās specifikācijas 2. punktā noteiktajiem izlases parametriem un aktuālajiem Centrālās statistikas pārvaldes demogrāfiskajiem rādītājiem.</w:t>
            </w:r>
          </w:p>
          <w:p w14:paraId="42E02FA7" w14:textId="77777777" w:rsidR="00A7274C" w:rsidRDefault="00A7274C" w:rsidP="00D21CAA">
            <w:pPr>
              <w:tabs>
                <w:tab w:val="left" w:pos="426"/>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Izpildītājs apkopo aptaujas rezultātus, veic to analīzi, sagatavo datu tabulas un grafisko atspoguļojumu.</w:t>
            </w:r>
          </w:p>
          <w:p w14:paraId="11670EA7" w14:textId="195EAD8E" w:rsidR="00A7274C" w:rsidRPr="00FD6207" w:rsidRDefault="00A7274C" w:rsidP="00D21CAA">
            <w:pPr>
              <w:tabs>
                <w:tab w:val="left" w:pos="426"/>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Rezultāti (datu tabulas un grafiki) atspoguļojami kopējā izlasē un tehniskās specifikācijas 2. pielikumā “Sabiedriskās domas aptaujas rezultātu analīzes prasības” noteiktajos </w:t>
            </w:r>
            <w:proofErr w:type="spellStart"/>
            <w:r>
              <w:rPr>
                <w:rFonts w:ascii="Times New Roman" w:eastAsia="Calibri" w:hAnsi="Times New Roman" w:cs="Times New Roman"/>
                <w:sz w:val="24"/>
                <w:szCs w:val="24"/>
              </w:rPr>
              <w:t>sociāldemogrāfiskajos</w:t>
            </w:r>
            <w:proofErr w:type="spellEnd"/>
            <w:r>
              <w:rPr>
                <w:rFonts w:ascii="Times New Roman" w:eastAsia="Calibri" w:hAnsi="Times New Roman" w:cs="Times New Roman"/>
                <w:sz w:val="24"/>
                <w:szCs w:val="24"/>
              </w:rPr>
              <w:t xml:space="preserve"> griezumos. Salīdzinājums ar 2025. gada aptaujas rezultātiem veicam</w:t>
            </w:r>
            <w:r w:rsidR="00075AEB">
              <w:rPr>
                <w:rFonts w:ascii="Times New Roman" w:eastAsia="Calibri" w:hAnsi="Times New Roman" w:cs="Times New Roman"/>
                <w:sz w:val="24"/>
                <w:szCs w:val="24"/>
              </w:rPr>
              <w:t>s</w:t>
            </w:r>
            <w:r>
              <w:rPr>
                <w:rFonts w:ascii="Times New Roman" w:eastAsia="Calibri" w:hAnsi="Times New Roman" w:cs="Times New Roman"/>
                <w:sz w:val="24"/>
                <w:szCs w:val="24"/>
              </w:rPr>
              <w:t xml:space="preserve"> kopējā izlasē. Pasūtītājs pēc līguma noslēgšanas nodrošina Izpildītājam </w:t>
            </w:r>
            <w:r w:rsidR="00E76A84">
              <w:rPr>
                <w:rFonts w:ascii="Times New Roman" w:eastAsia="Calibri" w:hAnsi="Times New Roman" w:cs="Times New Roman"/>
                <w:sz w:val="24"/>
                <w:szCs w:val="24"/>
              </w:rPr>
              <w:t>2025. gada aptaujas rezultātu tabulas salīdzinājuma veikšanai.</w:t>
            </w:r>
          </w:p>
        </w:tc>
        <w:tc>
          <w:tcPr>
            <w:tcW w:w="4536" w:type="dxa"/>
            <w:tcBorders>
              <w:top w:val="single" w:sz="4" w:space="0" w:color="auto"/>
              <w:left w:val="single" w:sz="4" w:space="0" w:color="auto"/>
              <w:bottom w:val="single" w:sz="4" w:space="0" w:color="000000"/>
              <w:right w:val="single" w:sz="4" w:space="0" w:color="auto"/>
            </w:tcBorders>
          </w:tcPr>
          <w:p w14:paraId="39A9E62C" w14:textId="07175E1A" w:rsidR="0051766A" w:rsidRPr="003B5874" w:rsidRDefault="0051766A" w:rsidP="00E23A68">
            <w:pPr>
              <w:spacing w:before="100" w:beforeAutospacing="1" w:after="100" w:afterAutospacing="1" w:line="240" w:lineRule="auto"/>
              <w:rPr>
                <w:rFonts w:ascii="Times New Roman" w:eastAsia="Calibri" w:hAnsi="Times New Roman" w:cs="Times New Roman"/>
                <w:b/>
                <w:sz w:val="24"/>
                <w:szCs w:val="24"/>
              </w:rPr>
            </w:pPr>
          </w:p>
        </w:tc>
      </w:tr>
      <w:tr w:rsidR="0051766A" w:rsidRPr="00FD6207" w14:paraId="2F9A42E9" w14:textId="77777777" w:rsidTr="0051766A">
        <w:tblPrEx>
          <w:tblCellMar>
            <w:left w:w="108" w:type="dxa"/>
            <w:right w:w="108" w:type="dxa"/>
          </w:tblCellMar>
          <w:tblLook w:val="0000" w:firstRow="0" w:lastRow="0" w:firstColumn="0" w:lastColumn="0" w:noHBand="0" w:noVBand="0"/>
        </w:tblPrEx>
        <w:trPr>
          <w:trHeight w:val="697"/>
        </w:trPr>
        <w:tc>
          <w:tcPr>
            <w:tcW w:w="710" w:type="dxa"/>
            <w:tcBorders>
              <w:top w:val="single" w:sz="4" w:space="0" w:color="auto"/>
              <w:left w:val="single" w:sz="4" w:space="0" w:color="000000"/>
              <w:bottom w:val="single" w:sz="4" w:space="0" w:color="auto"/>
            </w:tcBorders>
            <w:shd w:val="clear" w:color="auto" w:fill="auto"/>
          </w:tcPr>
          <w:p w14:paraId="244CE6C8" w14:textId="2A628C13" w:rsidR="0051766A" w:rsidRPr="00FD6207" w:rsidRDefault="008D49E7" w:rsidP="00FD6207">
            <w:pPr>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51766A" w:rsidRPr="00FD6207">
              <w:rPr>
                <w:rFonts w:ascii="Times New Roman" w:eastAsia="Times New Roman" w:hAnsi="Times New Roman" w:cs="Times New Roman"/>
                <w:sz w:val="24"/>
                <w:szCs w:val="24"/>
              </w:rPr>
              <w:t>.</w:t>
            </w:r>
          </w:p>
        </w:tc>
        <w:tc>
          <w:tcPr>
            <w:tcW w:w="4110" w:type="dxa"/>
            <w:tcBorders>
              <w:top w:val="single" w:sz="4" w:space="0" w:color="auto"/>
              <w:left w:val="single" w:sz="4" w:space="0" w:color="000000"/>
              <w:bottom w:val="single" w:sz="4" w:space="0" w:color="auto"/>
              <w:right w:val="single" w:sz="4" w:space="0" w:color="auto"/>
            </w:tcBorders>
            <w:shd w:val="clear" w:color="auto" w:fill="auto"/>
          </w:tcPr>
          <w:p w14:paraId="353E4FF0" w14:textId="21C7C586" w:rsidR="0051766A" w:rsidRDefault="00E76A84" w:rsidP="0072305C">
            <w:pPr>
              <w:spacing w:after="6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Aptaujas rezultātu atskaite</w:t>
            </w:r>
          </w:p>
          <w:p w14:paraId="07F1679F" w14:textId="61741D51" w:rsidR="00E76A84" w:rsidRDefault="00E76A84" w:rsidP="00E76A84">
            <w:pPr>
              <w:spacing w:after="60" w:line="240" w:lineRule="auto"/>
              <w:jc w:val="both"/>
              <w:rPr>
                <w:rFonts w:ascii="Times New Roman" w:eastAsia="Times New Roman" w:hAnsi="Times New Roman" w:cs="Times New Roman"/>
                <w:sz w:val="24"/>
                <w:szCs w:val="24"/>
              </w:rPr>
            </w:pPr>
            <w:r w:rsidRPr="00E76A84">
              <w:rPr>
                <w:rFonts w:ascii="Times New Roman" w:eastAsia="Times New Roman" w:hAnsi="Times New Roman" w:cs="Times New Roman"/>
                <w:sz w:val="24"/>
                <w:szCs w:val="24"/>
              </w:rPr>
              <w:t>Izpildītājs sagatavo aptaujas rezultātu atskaiti prezentācijas (MS PowerPoint) formātā un iesniedz to Pasūtītājam.</w:t>
            </w:r>
          </w:p>
          <w:p w14:paraId="3E958A3D" w14:textId="5392B64E" w:rsidR="00E76A84" w:rsidRDefault="00E76A84" w:rsidP="00E76A84">
            <w:pPr>
              <w:spacing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Atskaitē ietver:</w:t>
            </w:r>
          </w:p>
          <w:p w14:paraId="3E68A64D" w14:textId="0CF04CB3" w:rsidR="00E76A84" w:rsidRDefault="00BA480E" w:rsidP="00E76A84">
            <w:pPr>
              <w:pStyle w:val="ListParagraph"/>
              <w:numPr>
                <w:ilvl w:val="0"/>
                <w:numId w:val="8"/>
              </w:numPr>
              <w:spacing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informāciju par pētījuma metodoloģiju un aptaujas norisi;</w:t>
            </w:r>
          </w:p>
          <w:p w14:paraId="79BB189C" w14:textId="56596818" w:rsidR="00BA480E" w:rsidRDefault="00BA480E" w:rsidP="00E76A84">
            <w:pPr>
              <w:pStyle w:val="ListParagraph"/>
              <w:numPr>
                <w:ilvl w:val="0"/>
                <w:numId w:val="8"/>
              </w:numPr>
              <w:spacing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aptaujas rezultātu grafisku atspoguļojumu atbilstoši tehniskās specifikācijas 2. pielikumā “Sabiedriskās domas aptaujas rezultātu analīzes prasības” noteiktajam apjomam;</w:t>
            </w:r>
          </w:p>
          <w:p w14:paraId="3EFB3EE7" w14:textId="420D1E1E" w:rsidR="00BA480E" w:rsidRDefault="00BA480E" w:rsidP="00E76A84">
            <w:pPr>
              <w:pStyle w:val="ListParagraph"/>
              <w:numPr>
                <w:ilvl w:val="0"/>
                <w:numId w:val="8"/>
              </w:numPr>
              <w:spacing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salīdzinājumu ar 2025. gada veiktās aptaujas rezultātiem kopējā izlasē tiem jautājumiem, kuri ir salīdzināmi;</w:t>
            </w:r>
          </w:p>
          <w:p w14:paraId="0C493D64" w14:textId="2F5AFFDE" w:rsidR="00BA480E" w:rsidRPr="00E76A84" w:rsidRDefault="00BA480E" w:rsidP="00E76A84">
            <w:pPr>
              <w:pStyle w:val="ListParagraph"/>
              <w:numPr>
                <w:ilvl w:val="0"/>
                <w:numId w:val="8"/>
              </w:numPr>
              <w:spacing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galvenos secinājumus par aptaujā iegūtajiem rezultātiem.</w:t>
            </w:r>
          </w:p>
          <w:p w14:paraId="6EB0E51C" w14:textId="6FA58FD4" w:rsidR="00BA480E" w:rsidRDefault="00BA480E" w:rsidP="0072183A">
            <w:pPr>
              <w:spacing w:after="6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Papildus Izpildītājs iesniedz datu tabulas MS Excel formātā, ietverot katra jautājuma atbilžu procentuālo un absolūto sadalījumu, kā arī rezultātu </w:t>
            </w:r>
            <w:r>
              <w:rPr>
                <w:rFonts w:ascii="Times New Roman" w:eastAsia="Calibri" w:hAnsi="Times New Roman" w:cs="Times New Roman"/>
                <w:sz w:val="24"/>
                <w:szCs w:val="24"/>
              </w:rPr>
              <w:lastRenderedPageBreak/>
              <w:t xml:space="preserve">sadalījumu </w:t>
            </w:r>
            <w:proofErr w:type="spellStart"/>
            <w:r>
              <w:rPr>
                <w:rFonts w:ascii="Times New Roman" w:eastAsia="Calibri" w:hAnsi="Times New Roman" w:cs="Times New Roman"/>
                <w:sz w:val="24"/>
                <w:szCs w:val="24"/>
              </w:rPr>
              <w:t>sociāldemogrāfiskajos</w:t>
            </w:r>
            <w:proofErr w:type="spellEnd"/>
            <w:r>
              <w:rPr>
                <w:rFonts w:ascii="Times New Roman" w:eastAsia="Calibri" w:hAnsi="Times New Roman" w:cs="Times New Roman"/>
                <w:sz w:val="24"/>
                <w:szCs w:val="24"/>
              </w:rPr>
              <w:t xml:space="preserve"> griezumos atbilstoši tehniskās specifikācijas 2. pielikumā noteiktajām prasībām.</w:t>
            </w:r>
          </w:p>
          <w:p w14:paraId="7803A9C0" w14:textId="75142499" w:rsidR="0074366C" w:rsidRPr="00FD6207" w:rsidRDefault="00BA480E" w:rsidP="00BA480E">
            <w:pPr>
              <w:spacing w:after="60" w:line="240" w:lineRule="auto"/>
              <w:jc w:val="both"/>
              <w:rPr>
                <w:rFonts w:ascii="Times New Roman" w:eastAsia="Times New Roman" w:hAnsi="Times New Roman" w:cs="Times New Roman"/>
                <w:sz w:val="24"/>
                <w:szCs w:val="24"/>
              </w:rPr>
            </w:pPr>
            <w:r>
              <w:rPr>
                <w:rFonts w:ascii="Times New Roman" w:eastAsia="Calibri" w:hAnsi="Times New Roman" w:cs="Times New Roman"/>
                <w:sz w:val="24"/>
                <w:szCs w:val="24"/>
              </w:rPr>
              <w:t>Aptaujas rezultāti iesniedzami elektroniski, nosūtot tos uz Pasūtītāja norādīto e-pasta adresi.</w:t>
            </w:r>
          </w:p>
        </w:tc>
        <w:tc>
          <w:tcPr>
            <w:tcW w:w="4536" w:type="dxa"/>
            <w:tcBorders>
              <w:top w:val="single" w:sz="4" w:space="0" w:color="auto"/>
              <w:left w:val="single" w:sz="4" w:space="0" w:color="000000"/>
              <w:bottom w:val="single" w:sz="4" w:space="0" w:color="auto"/>
              <w:right w:val="single" w:sz="4" w:space="0" w:color="auto"/>
            </w:tcBorders>
          </w:tcPr>
          <w:p w14:paraId="3F941945" w14:textId="77777777" w:rsidR="0051766A" w:rsidRPr="003B5874" w:rsidRDefault="0051766A" w:rsidP="0072305C">
            <w:pPr>
              <w:spacing w:after="60" w:line="240" w:lineRule="auto"/>
              <w:rPr>
                <w:rFonts w:ascii="Times New Roman" w:eastAsia="Times New Roman" w:hAnsi="Times New Roman" w:cs="Times New Roman"/>
                <w:b/>
                <w:sz w:val="24"/>
                <w:szCs w:val="24"/>
              </w:rPr>
            </w:pPr>
          </w:p>
        </w:tc>
      </w:tr>
      <w:tr w:rsidR="0051766A" w:rsidRPr="00FD6207" w14:paraId="563A9887" w14:textId="77777777" w:rsidTr="0051766A">
        <w:tblPrEx>
          <w:tblCellMar>
            <w:left w:w="108" w:type="dxa"/>
            <w:right w:w="108" w:type="dxa"/>
          </w:tblCellMar>
          <w:tblLook w:val="0000" w:firstRow="0" w:lastRow="0" w:firstColumn="0" w:lastColumn="0" w:noHBand="0" w:noVBand="0"/>
        </w:tblPrEx>
        <w:trPr>
          <w:trHeight w:val="697"/>
        </w:trPr>
        <w:tc>
          <w:tcPr>
            <w:tcW w:w="710" w:type="dxa"/>
            <w:tcBorders>
              <w:top w:val="single" w:sz="4" w:space="0" w:color="auto"/>
              <w:left w:val="single" w:sz="4" w:space="0" w:color="000000"/>
              <w:bottom w:val="single" w:sz="4" w:space="0" w:color="auto"/>
            </w:tcBorders>
            <w:shd w:val="clear" w:color="auto" w:fill="auto"/>
          </w:tcPr>
          <w:p w14:paraId="4C05AC20" w14:textId="72727921" w:rsidR="0051766A" w:rsidRPr="00FD6207" w:rsidRDefault="00862025" w:rsidP="00FD6207">
            <w:pPr>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51766A" w:rsidRPr="00FD6207">
              <w:rPr>
                <w:rFonts w:ascii="Times New Roman" w:eastAsia="Times New Roman" w:hAnsi="Times New Roman" w:cs="Times New Roman"/>
                <w:sz w:val="24"/>
                <w:szCs w:val="24"/>
              </w:rPr>
              <w:t>.</w:t>
            </w:r>
          </w:p>
        </w:tc>
        <w:tc>
          <w:tcPr>
            <w:tcW w:w="4110" w:type="dxa"/>
            <w:tcBorders>
              <w:top w:val="single" w:sz="4" w:space="0" w:color="auto"/>
              <w:left w:val="single" w:sz="4" w:space="0" w:color="000000"/>
              <w:bottom w:val="single" w:sz="4" w:space="0" w:color="auto"/>
              <w:right w:val="single" w:sz="4" w:space="0" w:color="auto"/>
            </w:tcBorders>
            <w:shd w:val="clear" w:color="auto" w:fill="auto"/>
          </w:tcPr>
          <w:p w14:paraId="10A92C68" w14:textId="77777777" w:rsidR="0051766A" w:rsidRPr="003B5874" w:rsidRDefault="0051766A" w:rsidP="0072305C">
            <w:pPr>
              <w:spacing w:after="120" w:line="240" w:lineRule="auto"/>
              <w:rPr>
                <w:rFonts w:ascii="Times New Roman" w:eastAsia="Times New Roman" w:hAnsi="Times New Roman" w:cs="Times New Roman"/>
                <w:b/>
                <w:sz w:val="24"/>
                <w:szCs w:val="24"/>
              </w:rPr>
            </w:pPr>
            <w:r w:rsidRPr="003B5874">
              <w:rPr>
                <w:rFonts w:ascii="Times New Roman" w:eastAsia="Times New Roman" w:hAnsi="Times New Roman" w:cs="Times New Roman"/>
                <w:b/>
                <w:sz w:val="24"/>
                <w:szCs w:val="24"/>
              </w:rPr>
              <w:t>Prasības pretendent</w:t>
            </w:r>
            <w:r>
              <w:rPr>
                <w:rFonts w:ascii="Times New Roman" w:eastAsia="Times New Roman" w:hAnsi="Times New Roman" w:cs="Times New Roman"/>
                <w:b/>
                <w:sz w:val="24"/>
                <w:szCs w:val="24"/>
              </w:rPr>
              <w:t>iem</w:t>
            </w:r>
          </w:p>
          <w:p w14:paraId="26A32046" w14:textId="2EBBD4B5" w:rsidR="00F256C4" w:rsidRDefault="00F256C4" w:rsidP="0072305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Pretendentam pakalpojuma izpildē jānodrošina speciālistu komanda, kurai kopumā ir pieredze kvantitatīvu sabiedriskās domas aptauju veikšanā, tajā skaitā iepriekšējo trīs gadu laikā īstenojot vismaz trīs līdzvērtīgas aptaujas, kur katras aptaujas ietvaros aptaujāti vismaz </w:t>
            </w:r>
            <w:bookmarkStart w:id="0" w:name="_GoBack"/>
            <w:r>
              <w:rPr>
                <w:rFonts w:ascii="Times New Roman" w:eastAsia="Times New Roman" w:hAnsi="Times New Roman" w:cs="Times New Roman"/>
                <w:sz w:val="24"/>
                <w:szCs w:val="24"/>
              </w:rPr>
              <w:t>1000</w:t>
            </w:r>
            <w:bookmarkEnd w:id="0"/>
            <w:r>
              <w:rPr>
                <w:rFonts w:ascii="Times New Roman" w:eastAsia="Times New Roman" w:hAnsi="Times New Roman" w:cs="Times New Roman"/>
                <w:sz w:val="24"/>
                <w:szCs w:val="24"/>
              </w:rPr>
              <w:t xml:space="preserve"> respondentu.</w:t>
            </w:r>
          </w:p>
          <w:p w14:paraId="76DBEDC8" w14:textId="761AAB04" w:rsidR="00F256C4" w:rsidRDefault="00F256C4" w:rsidP="0072305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Lai apliecinātu atbilstību prasībai, pretendents tehniskajā piedāvājumā norāda </w:t>
            </w:r>
            <w:r w:rsidR="007C2931">
              <w:rPr>
                <w:rFonts w:ascii="Times New Roman" w:eastAsia="Times New Roman" w:hAnsi="Times New Roman" w:cs="Times New Roman"/>
                <w:sz w:val="24"/>
                <w:szCs w:val="24"/>
              </w:rPr>
              <w:t>vismaz trīs īstenotās aptaujas, to pasūtītāju, veikšanas laiku un izmantoto datu vākšanas metodi.</w:t>
            </w:r>
          </w:p>
          <w:p w14:paraId="45195105" w14:textId="400C6746" w:rsidR="00E942A0" w:rsidRPr="00FD6207" w:rsidRDefault="007C2931" w:rsidP="007C293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Pasūtītājs ir tiesīgs pārbaudīt pretendenta sniegto informāciju.</w:t>
            </w:r>
          </w:p>
        </w:tc>
        <w:tc>
          <w:tcPr>
            <w:tcW w:w="4536" w:type="dxa"/>
            <w:tcBorders>
              <w:top w:val="single" w:sz="4" w:space="0" w:color="auto"/>
              <w:left w:val="single" w:sz="4" w:space="0" w:color="000000"/>
              <w:bottom w:val="single" w:sz="4" w:space="0" w:color="auto"/>
              <w:right w:val="single" w:sz="4" w:space="0" w:color="auto"/>
            </w:tcBorders>
          </w:tcPr>
          <w:p w14:paraId="77461257" w14:textId="718CFA8D" w:rsidR="0051766A" w:rsidRPr="003B5874" w:rsidRDefault="0051766A" w:rsidP="00535C89">
            <w:pPr>
              <w:spacing w:before="100" w:beforeAutospacing="1" w:after="100" w:afterAutospacing="1" w:line="240" w:lineRule="auto"/>
              <w:ind w:left="360"/>
              <w:rPr>
                <w:rFonts w:ascii="Times New Roman" w:eastAsia="Times New Roman" w:hAnsi="Times New Roman" w:cs="Times New Roman"/>
                <w:b/>
                <w:sz w:val="24"/>
                <w:szCs w:val="24"/>
              </w:rPr>
            </w:pPr>
          </w:p>
        </w:tc>
      </w:tr>
    </w:tbl>
    <w:p w14:paraId="20FA55E0" w14:textId="77777777" w:rsidR="00CB628F" w:rsidRDefault="00CB628F" w:rsidP="00FF1A70">
      <w:pPr>
        <w:spacing w:after="0"/>
        <w:jc w:val="center"/>
        <w:rPr>
          <w:rFonts w:ascii="Times New Roman" w:hAnsi="Times New Roman" w:cs="Times New Roman"/>
          <w:sz w:val="28"/>
          <w:szCs w:val="28"/>
        </w:rPr>
      </w:pPr>
    </w:p>
    <w:p w14:paraId="3EBD3C41" w14:textId="77777777" w:rsidR="003E4A3D" w:rsidRDefault="003E4A3D">
      <w:pPr>
        <w:rPr>
          <w:rFonts w:ascii="Times New Roman" w:hAnsi="Times New Roman" w:cs="Times New Roman"/>
          <w:sz w:val="28"/>
          <w:szCs w:val="28"/>
        </w:rPr>
      </w:pPr>
    </w:p>
    <w:p w14:paraId="7CBD6732" w14:textId="77777777" w:rsidR="006C3A52" w:rsidRPr="00601829" w:rsidRDefault="006C3A52" w:rsidP="0048124A">
      <w:pPr>
        <w:spacing w:after="60"/>
        <w:jc w:val="center"/>
        <w:rPr>
          <w:rFonts w:ascii="Times New Roman" w:hAnsi="Times New Roman" w:cs="Times New Roman"/>
          <w:b/>
          <w:sz w:val="28"/>
          <w:szCs w:val="28"/>
        </w:rPr>
      </w:pPr>
      <w:r w:rsidRPr="00601829">
        <w:rPr>
          <w:rFonts w:ascii="Times New Roman" w:hAnsi="Times New Roman" w:cs="Times New Roman"/>
          <w:b/>
          <w:sz w:val="28"/>
          <w:szCs w:val="28"/>
        </w:rPr>
        <w:t>FINANŠU PIEDĀVĀJUMS</w:t>
      </w:r>
    </w:p>
    <w:p w14:paraId="092CE45A" w14:textId="060CBE5C" w:rsidR="006C3A52" w:rsidRPr="005D1B2B" w:rsidRDefault="006C3A52" w:rsidP="005D1B2B">
      <w:pPr>
        <w:jc w:val="center"/>
        <w:rPr>
          <w:rFonts w:ascii="Times New Roman" w:hAnsi="Times New Roman" w:cs="Times New Roman"/>
          <w:sz w:val="24"/>
          <w:szCs w:val="24"/>
        </w:rPr>
      </w:pPr>
      <w:r w:rsidRPr="005D1B2B">
        <w:rPr>
          <w:rFonts w:ascii="Times New Roman" w:hAnsi="Times New Roman" w:cs="Times New Roman"/>
          <w:sz w:val="24"/>
          <w:szCs w:val="24"/>
        </w:rPr>
        <w:t xml:space="preserve">Finanšu piedāvājuma cenā </w:t>
      </w:r>
      <w:r w:rsidR="00EE5933">
        <w:rPr>
          <w:rFonts w:ascii="Times New Roman" w:hAnsi="Times New Roman" w:cs="Times New Roman"/>
          <w:sz w:val="24"/>
          <w:szCs w:val="24"/>
        </w:rPr>
        <w:t>ietveramas visas izmaksas, kas nepieciešamas tehniskajā specifikācijā noteikto prasību izpildei, tajā skaitā visas tiešās un netiešās izmaksas.</w:t>
      </w:r>
    </w:p>
    <w:tbl>
      <w:tblPr>
        <w:tblStyle w:val="TableGrid"/>
        <w:tblW w:w="0" w:type="auto"/>
        <w:tblInd w:w="-289" w:type="dxa"/>
        <w:tblLayout w:type="fixed"/>
        <w:tblLook w:val="04A0" w:firstRow="1" w:lastRow="0" w:firstColumn="1" w:lastColumn="0" w:noHBand="0" w:noVBand="1"/>
      </w:tblPr>
      <w:tblGrid>
        <w:gridCol w:w="4820"/>
        <w:gridCol w:w="2127"/>
        <w:gridCol w:w="992"/>
        <w:gridCol w:w="1366"/>
      </w:tblGrid>
      <w:tr w:rsidR="00601829" w:rsidRPr="005322E4" w14:paraId="5DFD9388" w14:textId="77777777" w:rsidTr="00601829">
        <w:tc>
          <w:tcPr>
            <w:tcW w:w="4820" w:type="dxa"/>
            <w:shd w:val="clear" w:color="auto" w:fill="525A72" w:themeFill="accent2"/>
            <w:vAlign w:val="center"/>
          </w:tcPr>
          <w:p w14:paraId="3A0C37C0" w14:textId="5CB9CB34" w:rsidR="005322E4" w:rsidRPr="005322E4" w:rsidRDefault="005322E4" w:rsidP="006C3A52">
            <w:pPr>
              <w:rPr>
                <w:rFonts w:ascii="Times New Roman" w:hAnsi="Times New Roman" w:cs="Times New Roman"/>
                <w:b/>
                <w:color w:val="FFFFFF" w:themeColor="background1"/>
                <w:sz w:val="24"/>
                <w:szCs w:val="24"/>
              </w:rPr>
            </w:pPr>
            <w:r w:rsidRPr="005322E4">
              <w:rPr>
                <w:rFonts w:ascii="Times New Roman" w:hAnsi="Times New Roman" w:cs="Times New Roman"/>
                <w:b/>
                <w:color w:val="FFFFFF" w:themeColor="background1"/>
                <w:sz w:val="24"/>
                <w:szCs w:val="24"/>
              </w:rPr>
              <w:t>Pakalpojums</w:t>
            </w:r>
          </w:p>
        </w:tc>
        <w:tc>
          <w:tcPr>
            <w:tcW w:w="2127" w:type="dxa"/>
            <w:shd w:val="clear" w:color="auto" w:fill="525A72" w:themeFill="accent2"/>
            <w:vAlign w:val="center"/>
          </w:tcPr>
          <w:p w14:paraId="1FE05EEA" w14:textId="77777777" w:rsidR="00EE5933" w:rsidRDefault="005322E4" w:rsidP="005322E4">
            <w:pPr>
              <w:jc w:val="center"/>
              <w:rPr>
                <w:rFonts w:ascii="Times New Roman" w:hAnsi="Times New Roman" w:cs="Times New Roman"/>
                <w:b/>
                <w:color w:val="FFFFFF" w:themeColor="background1"/>
                <w:sz w:val="24"/>
                <w:szCs w:val="24"/>
              </w:rPr>
            </w:pPr>
            <w:r w:rsidRPr="005322E4">
              <w:rPr>
                <w:rFonts w:ascii="Times New Roman" w:hAnsi="Times New Roman" w:cs="Times New Roman"/>
                <w:b/>
                <w:color w:val="FFFFFF" w:themeColor="background1"/>
                <w:sz w:val="24"/>
                <w:szCs w:val="24"/>
              </w:rPr>
              <w:t xml:space="preserve">Piedāvājuma cena </w:t>
            </w:r>
          </w:p>
          <w:p w14:paraId="01C3846A" w14:textId="61561046" w:rsidR="005322E4" w:rsidRPr="005322E4" w:rsidRDefault="00EE5933" w:rsidP="005322E4">
            <w:pPr>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w:t>
            </w:r>
            <w:r w:rsidR="005322E4" w:rsidRPr="005322E4">
              <w:rPr>
                <w:rFonts w:ascii="Times New Roman" w:hAnsi="Times New Roman" w:cs="Times New Roman"/>
                <w:b/>
                <w:color w:val="FFFFFF" w:themeColor="background1"/>
                <w:sz w:val="24"/>
                <w:szCs w:val="24"/>
              </w:rPr>
              <w:t>EUR bez PVN</w:t>
            </w:r>
            <w:r>
              <w:rPr>
                <w:rFonts w:ascii="Times New Roman" w:hAnsi="Times New Roman" w:cs="Times New Roman"/>
                <w:b/>
                <w:color w:val="FFFFFF" w:themeColor="background1"/>
                <w:sz w:val="24"/>
                <w:szCs w:val="24"/>
              </w:rPr>
              <w:t>)</w:t>
            </w:r>
          </w:p>
        </w:tc>
        <w:tc>
          <w:tcPr>
            <w:tcW w:w="992" w:type="dxa"/>
            <w:shd w:val="clear" w:color="auto" w:fill="525A72" w:themeFill="accent2"/>
            <w:vAlign w:val="center"/>
          </w:tcPr>
          <w:p w14:paraId="44BB8ACF" w14:textId="56B04183" w:rsidR="005322E4" w:rsidRPr="005322E4" w:rsidRDefault="005322E4" w:rsidP="005322E4">
            <w:pPr>
              <w:jc w:val="center"/>
              <w:rPr>
                <w:rFonts w:ascii="Times New Roman" w:hAnsi="Times New Roman" w:cs="Times New Roman"/>
                <w:b/>
                <w:color w:val="FFFFFF" w:themeColor="background1"/>
                <w:sz w:val="24"/>
                <w:szCs w:val="24"/>
              </w:rPr>
            </w:pPr>
            <w:r w:rsidRPr="005322E4">
              <w:rPr>
                <w:rFonts w:ascii="Times New Roman" w:hAnsi="Times New Roman" w:cs="Times New Roman"/>
                <w:b/>
                <w:color w:val="FFFFFF" w:themeColor="background1"/>
                <w:sz w:val="24"/>
                <w:szCs w:val="24"/>
              </w:rPr>
              <w:t>PVN 21%</w:t>
            </w:r>
          </w:p>
        </w:tc>
        <w:tc>
          <w:tcPr>
            <w:tcW w:w="1366" w:type="dxa"/>
            <w:shd w:val="clear" w:color="auto" w:fill="525A72" w:themeFill="accent2"/>
            <w:vAlign w:val="center"/>
          </w:tcPr>
          <w:p w14:paraId="36BCB33F" w14:textId="77777777" w:rsidR="00601829" w:rsidRDefault="00EE5933" w:rsidP="005322E4">
            <w:pPr>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 xml:space="preserve">Kopā </w:t>
            </w:r>
            <w:r w:rsidR="005322E4" w:rsidRPr="005322E4">
              <w:rPr>
                <w:rFonts w:ascii="Times New Roman" w:hAnsi="Times New Roman" w:cs="Times New Roman"/>
                <w:b/>
                <w:color w:val="FFFFFF" w:themeColor="background1"/>
                <w:sz w:val="24"/>
                <w:szCs w:val="24"/>
              </w:rPr>
              <w:t xml:space="preserve"> </w:t>
            </w:r>
          </w:p>
          <w:p w14:paraId="575A7997" w14:textId="77777777" w:rsidR="00601829" w:rsidRDefault="00601829" w:rsidP="00601829">
            <w:pPr>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w:t>
            </w:r>
            <w:r w:rsidR="005322E4" w:rsidRPr="005322E4">
              <w:rPr>
                <w:rFonts w:ascii="Times New Roman" w:hAnsi="Times New Roman" w:cs="Times New Roman"/>
                <w:b/>
                <w:color w:val="FFFFFF" w:themeColor="background1"/>
                <w:sz w:val="24"/>
                <w:szCs w:val="24"/>
              </w:rPr>
              <w:t>EUR</w:t>
            </w:r>
          </w:p>
          <w:p w14:paraId="69C8F8CC" w14:textId="1CF753E7" w:rsidR="005322E4" w:rsidRPr="005322E4" w:rsidRDefault="005322E4" w:rsidP="00601829">
            <w:pPr>
              <w:jc w:val="center"/>
              <w:rPr>
                <w:rFonts w:ascii="Times New Roman" w:hAnsi="Times New Roman" w:cs="Times New Roman"/>
                <w:b/>
                <w:color w:val="FFFFFF" w:themeColor="background1"/>
                <w:sz w:val="24"/>
                <w:szCs w:val="24"/>
              </w:rPr>
            </w:pPr>
            <w:r w:rsidRPr="005322E4">
              <w:rPr>
                <w:rFonts w:ascii="Times New Roman" w:hAnsi="Times New Roman" w:cs="Times New Roman"/>
                <w:b/>
                <w:color w:val="FFFFFF" w:themeColor="background1"/>
                <w:sz w:val="24"/>
                <w:szCs w:val="24"/>
              </w:rPr>
              <w:t xml:space="preserve"> ar PVN</w:t>
            </w:r>
            <w:r w:rsidR="00601829">
              <w:rPr>
                <w:rFonts w:ascii="Times New Roman" w:hAnsi="Times New Roman" w:cs="Times New Roman"/>
                <w:b/>
                <w:color w:val="FFFFFF" w:themeColor="background1"/>
                <w:sz w:val="24"/>
                <w:szCs w:val="24"/>
              </w:rPr>
              <w:t>)</w:t>
            </w:r>
          </w:p>
        </w:tc>
      </w:tr>
      <w:tr w:rsidR="005322E4" w14:paraId="4335ED82" w14:textId="77777777" w:rsidTr="00601829">
        <w:tc>
          <w:tcPr>
            <w:tcW w:w="4820" w:type="dxa"/>
            <w:vAlign w:val="center"/>
          </w:tcPr>
          <w:p w14:paraId="6411B80C" w14:textId="11115F35" w:rsidR="005322E4" w:rsidRDefault="005322E4" w:rsidP="006C3A52">
            <w:pPr>
              <w:rPr>
                <w:rFonts w:ascii="Times New Roman" w:hAnsi="Times New Roman" w:cs="Times New Roman"/>
                <w:sz w:val="24"/>
                <w:szCs w:val="24"/>
              </w:rPr>
            </w:pPr>
            <w:r>
              <w:rPr>
                <w:rFonts w:ascii="Times New Roman" w:eastAsia="Calibri" w:hAnsi="Times New Roman" w:cs="Times New Roman"/>
                <w:bCs/>
                <w:color w:val="000000"/>
                <w:sz w:val="24"/>
                <w:szCs w:val="24"/>
                <w:lang w:eastAsia="lv-LV"/>
              </w:rPr>
              <w:t xml:space="preserve">Sabiedriskās domas aptaujas veikšana saskaņā ar </w:t>
            </w:r>
            <w:r w:rsidR="00EE5933">
              <w:rPr>
                <w:rFonts w:ascii="Times New Roman" w:eastAsia="Calibri" w:hAnsi="Times New Roman" w:cs="Times New Roman"/>
                <w:bCs/>
                <w:color w:val="000000"/>
                <w:sz w:val="24"/>
                <w:szCs w:val="24"/>
                <w:lang w:eastAsia="lv-LV"/>
              </w:rPr>
              <w:t>tehnisko specifikāciju un Pasūtītāja izstrādāto aptaujas anketu</w:t>
            </w:r>
          </w:p>
        </w:tc>
        <w:tc>
          <w:tcPr>
            <w:tcW w:w="2127" w:type="dxa"/>
            <w:vAlign w:val="center"/>
          </w:tcPr>
          <w:p w14:paraId="16CE96ED" w14:textId="77777777" w:rsidR="005322E4" w:rsidRDefault="005322E4" w:rsidP="006C3A52">
            <w:pPr>
              <w:rPr>
                <w:rFonts w:ascii="Times New Roman" w:hAnsi="Times New Roman" w:cs="Times New Roman"/>
                <w:sz w:val="24"/>
                <w:szCs w:val="24"/>
              </w:rPr>
            </w:pPr>
          </w:p>
        </w:tc>
        <w:tc>
          <w:tcPr>
            <w:tcW w:w="992" w:type="dxa"/>
            <w:vAlign w:val="center"/>
          </w:tcPr>
          <w:p w14:paraId="0E80D186" w14:textId="77777777" w:rsidR="005322E4" w:rsidRDefault="005322E4" w:rsidP="006C3A52">
            <w:pPr>
              <w:rPr>
                <w:rFonts w:ascii="Times New Roman" w:hAnsi="Times New Roman" w:cs="Times New Roman"/>
                <w:sz w:val="24"/>
                <w:szCs w:val="24"/>
              </w:rPr>
            </w:pPr>
          </w:p>
        </w:tc>
        <w:tc>
          <w:tcPr>
            <w:tcW w:w="1366" w:type="dxa"/>
            <w:vAlign w:val="center"/>
          </w:tcPr>
          <w:p w14:paraId="7EF2C9D5" w14:textId="77777777" w:rsidR="005322E4" w:rsidRDefault="005322E4" w:rsidP="006C3A52">
            <w:pPr>
              <w:rPr>
                <w:rFonts w:ascii="Times New Roman" w:hAnsi="Times New Roman" w:cs="Times New Roman"/>
                <w:sz w:val="24"/>
                <w:szCs w:val="24"/>
              </w:rPr>
            </w:pPr>
          </w:p>
        </w:tc>
      </w:tr>
    </w:tbl>
    <w:p w14:paraId="47778299" w14:textId="77777777" w:rsidR="005322E4" w:rsidRDefault="005322E4" w:rsidP="006C3A52">
      <w:pPr>
        <w:rPr>
          <w:rFonts w:ascii="Times New Roman" w:hAnsi="Times New Roman" w:cs="Times New Roman"/>
          <w:sz w:val="24"/>
          <w:szCs w:val="24"/>
        </w:rPr>
      </w:pPr>
    </w:p>
    <w:sectPr w:rsidR="005322E4" w:rsidSect="00701C8F">
      <w:footerReference w:type="default" r:id="rId9"/>
      <w:pgSz w:w="11906" w:h="16838"/>
      <w:pgMar w:top="1440" w:right="1152" w:bottom="144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169C48" w14:textId="77777777" w:rsidR="008B12E6" w:rsidRDefault="008B12E6" w:rsidP="008C090E">
      <w:pPr>
        <w:spacing w:after="0" w:line="240" w:lineRule="auto"/>
      </w:pPr>
      <w:r>
        <w:separator/>
      </w:r>
    </w:p>
  </w:endnote>
  <w:endnote w:type="continuationSeparator" w:id="0">
    <w:p w14:paraId="129639DF" w14:textId="77777777" w:rsidR="008B12E6" w:rsidRDefault="008B12E6" w:rsidP="008C0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6EE87" w14:textId="77777777" w:rsidR="008C090E" w:rsidRDefault="008C090E">
    <w:pPr>
      <w:pStyle w:val="Footer"/>
    </w:pPr>
  </w:p>
  <w:p w14:paraId="4BE9B8F6" w14:textId="77777777" w:rsidR="008C090E" w:rsidRDefault="008C09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59F898" w14:textId="77777777" w:rsidR="008B12E6" w:rsidRDefault="008B12E6" w:rsidP="008C090E">
      <w:pPr>
        <w:spacing w:after="0" w:line="240" w:lineRule="auto"/>
      </w:pPr>
      <w:r>
        <w:separator/>
      </w:r>
    </w:p>
  </w:footnote>
  <w:footnote w:type="continuationSeparator" w:id="0">
    <w:p w14:paraId="62096A72" w14:textId="77777777" w:rsidR="008B12E6" w:rsidRDefault="008B12E6" w:rsidP="008C09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752B6"/>
    <w:multiLevelType w:val="hybridMultilevel"/>
    <w:tmpl w:val="9F34032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1463855"/>
    <w:multiLevelType w:val="hybridMultilevel"/>
    <w:tmpl w:val="5E16D9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4622781"/>
    <w:multiLevelType w:val="multilevel"/>
    <w:tmpl w:val="6B62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E62BBA"/>
    <w:multiLevelType w:val="hybridMultilevel"/>
    <w:tmpl w:val="696E06EE"/>
    <w:lvl w:ilvl="0" w:tplc="5D2CCE9C">
      <w:start w:val="1"/>
      <w:numFmt w:val="decimal"/>
      <w:lvlText w:val="%1."/>
      <w:lvlJc w:val="left"/>
      <w:pPr>
        <w:ind w:left="733" w:hanging="360"/>
      </w:pPr>
      <w:rPr>
        <w:rFonts w:hint="default"/>
        <w:b w:val="0"/>
        <w:i w:val="0"/>
        <w:color w:val="auto"/>
      </w:rPr>
    </w:lvl>
    <w:lvl w:ilvl="1" w:tplc="20000019" w:tentative="1">
      <w:start w:val="1"/>
      <w:numFmt w:val="lowerLetter"/>
      <w:lvlText w:val="%2."/>
      <w:lvlJc w:val="left"/>
      <w:pPr>
        <w:ind w:left="1453" w:hanging="360"/>
      </w:pPr>
    </w:lvl>
    <w:lvl w:ilvl="2" w:tplc="2000001B" w:tentative="1">
      <w:start w:val="1"/>
      <w:numFmt w:val="lowerRoman"/>
      <w:lvlText w:val="%3."/>
      <w:lvlJc w:val="right"/>
      <w:pPr>
        <w:ind w:left="2173" w:hanging="180"/>
      </w:pPr>
    </w:lvl>
    <w:lvl w:ilvl="3" w:tplc="2000000F" w:tentative="1">
      <w:start w:val="1"/>
      <w:numFmt w:val="decimal"/>
      <w:lvlText w:val="%4."/>
      <w:lvlJc w:val="left"/>
      <w:pPr>
        <w:ind w:left="2893" w:hanging="360"/>
      </w:pPr>
    </w:lvl>
    <w:lvl w:ilvl="4" w:tplc="20000019" w:tentative="1">
      <w:start w:val="1"/>
      <w:numFmt w:val="lowerLetter"/>
      <w:lvlText w:val="%5."/>
      <w:lvlJc w:val="left"/>
      <w:pPr>
        <w:ind w:left="3613" w:hanging="360"/>
      </w:pPr>
    </w:lvl>
    <w:lvl w:ilvl="5" w:tplc="2000001B" w:tentative="1">
      <w:start w:val="1"/>
      <w:numFmt w:val="lowerRoman"/>
      <w:lvlText w:val="%6."/>
      <w:lvlJc w:val="right"/>
      <w:pPr>
        <w:ind w:left="4333" w:hanging="180"/>
      </w:pPr>
    </w:lvl>
    <w:lvl w:ilvl="6" w:tplc="2000000F" w:tentative="1">
      <w:start w:val="1"/>
      <w:numFmt w:val="decimal"/>
      <w:lvlText w:val="%7."/>
      <w:lvlJc w:val="left"/>
      <w:pPr>
        <w:ind w:left="5053" w:hanging="360"/>
      </w:pPr>
    </w:lvl>
    <w:lvl w:ilvl="7" w:tplc="20000019" w:tentative="1">
      <w:start w:val="1"/>
      <w:numFmt w:val="lowerLetter"/>
      <w:lvlText w:val="%8."/>
      <w:lvlJc w:val="left"/>
      <w:pPr>
        <w:ind w:left="5773" w:hanging="360"/>
      </w:pPr>
    </w:lvl>
    <w:lvl w:ilvl="8" w:tplc="2000001B" w:tentative="1">
      <w:start w:val="1"/>
      <w:numFmt w:val="lowerRoman"/>
      <w:lvlText w:val="%9."/>
      <w:lvlJc w:val="right"/>
      <w:pPr>
        <w:ind w:left="6493" w:hanging="180"/>
      </w:pPr>
    </w:lvl>
  </w:abstractNum>
  <w:abstractNum w:abstractNumId="4" w15:restartNumberingAfterBreak="0">
    <w:nsid w:val="4FC02FDC"/>
    <w:multiLevelType w:val="hybridMultilevel"/>
    <w:tmpl w:val="707CBBB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ABA420A"/>
    <w:multiLevelType w:val="multilevel"/>
    <w:tmpl w:val="040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781" w:hanging="504"/>
      </w:pPr>
    </w:lvl>
    <w:lvl w:ilvl="3">
      <w:start w:val="1"/>
      <w:numFmt w:val="decimal"/>
      <w:lvlText w:val="%1.%2.%3.%4."/>
      <w:lvlJc w:val="left"/>
      <w:pPr>
        <w:ind w:left="334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8494ED4"/>
    <w:multiLevelType w:val="multilevel"/>
    <w:tmpl w:val="8ADA3AF4"/>
    <w:lvl w:ilvl="0">
      <w:start w:val="10"/>
      <w:numFmt w:val="decimal"/>
      <w:lvlText w:val="%1."/>
      <w:lvlJc w:val="left"/>
      <w:pPr>
        <w:ind w:left="600" w:hanging="600"/>
      </w:pPr>
      <w:rPr>
        <w:rFonts w:hint="default"/>
        <w:b/>
        <w:bCs/>
      </w:rPr>
    </w:lvl>
    <w:lvl w:ilvl="1">
      <w:start w:val="1"/>
      <w:numFmt w:val="decimal"/>
      <w:lvlText w:val="%1.%2."/>
      <w:lvlJc w:val="left"/>
      <w:pPr>
        <w:ind w:left="1146" w:hanging="7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3240" w:hanging="1080"/>
      </w:pPr>
      <w:rPr>
        <w:rFonts w:ascii="Times New Roman" w:hAnsi="Times New Roman" w:cs="Times New Roman"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7CF230A8"/>
    <w:multiLevelType w:val="hybridMultilevel"/>
    <w:tmpl w:val="677A24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5"/>
  </w:num>
  <w:num w:numId="3">
    <w:abstractNumId w:val="6"/>
  </w:num>
  <w:num w:numId="4">
    <w:abstractNumId w:val="7"/>
  </w:num>
  <w:num w:numId="5">
    <w:abstractNumId w:val="3"/>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70B"/>
    <w:rsid w:val="00034B89"/>
    <w:rsid w:val="000355AD"/>
    <w:rsid w:val="000378CD"/>
    <w:rsid w:val="00053B79"/>
    <w:rsid w:val="00060C13"/>
    <w:rsid w:val="00064EDC"/>
    <w:rsid w:val="00075AEB"/>
    <w:rsid w:val="000962EF"/>
    <w:rsid w:val="000A2DCD"/>
    <w:rsid w:val="000B3E3B"/>
    <w:rsid w:val="000B4941"/>
    <w:rsid w:val="00106C02"/>
    <w:rsid w:val="001117A4"/>
    <w:rsid w:val="001177A1"/>
    <w:rsid w:val="0012357F"/>
    <w:rsid w:val="001359EC"/>
    <w:rsid w:val="00142701"/>
    <w:rsid w:val="0014755E"/>
    <w:rsid w:val="00155C1C"/>
    <w:rsid w:val="00165316"/>
    <w:rsid w:val="00180F82"/>
    <w:rsid w:val="00185793"/>
    <w:rsid w:val="001A0893"/>
    <w:rsid w:val="001B0ECF"/>
    <w:rsid w:val="001C3671"/>
    <w:rsid w:val="001C6233"/>
    <w:rsid w:val="00202EA5"/>
    <w:rsid w:val="0020588E"/>
    <w:rsid w:val="0020621D"/>
    <w:rsid w:val="002253A0"/>
    <w:rsid w:val="00234E09"/>
    <w:rsid w:val="00235E3F"/>
    <w:rsid w:val="00257209"/>
    <w:rsid w:val="00263198"/>
    <w:rsid w:val="00281958"/>
    <w:rsid w:val="00285F52"/>
    <w:rsid w:val="002A0513"/>
    <w:rsid w:val="002C47A9"/>
    <w:rsid w:val="002C6B22"/>
    <w:rsid w:val="002C7995"/>
    <w:rsid w:val="002C7BCB"/>
    <w:rsid w:val="002D2E6E"/>
    <w:rsid w:val="002D3EC0"/>
    <w:rsid w:val="002F3620"/>
    <w:rsid w:val="00310372"/>
    <w:rsid w:val="00321699"/>
    <w:rsid w:val="0032528D"/>
    <w:rsid w:val="003477C1"/>
    <w:rsid w:val="00347C60"/>
    <w:rsid w:val="00352433"/>
    <w:rsid w:val="00360F59"/>
    <w:rsid w:val="00364244"/>
    <w:rsid w:val="00364451"/>
    <w:rsid w:val="00371B0A"/>
    <w:rsid w:val="003820CD"/>
    <w:rsid w:val="00391234"/>
    <w:rsid w:val="00397D00"/>
    <w:rsid w:val="003A5A1A"/>
    <w:rsid w:val="003A7305"/>
    <w:rsid w:val="003B22D9"/>
    <w:rsid w:val="003B5874"/>
    <w:rsid w:val="003B6D6C"/>
    <w:rsid w:val="003E4A3D"/>
    <w:rsid w:val="003F0375"/>
    <w:rsid w:val="00431C5D"/>
    <w:rsid w:val="004377F9"/>
    <w:rsid w:val="00437BFF"/>
    <w:rsid w:val="004633A3"/>
    <w:rsid w:val="00472C7C"/>
    <w:rsid w:val="0048124A"/>
    <w:rsid w:val="004A4E17"/>
    <w:rsid w:val="004A51CF"/>
    <w:rsid w:val="004B6F62"/>
    <w:rsid w:val="004C7F0C"/>
    <w:rsid w:val="004D5C66"/>
    <w:rsid w:val="004E67B3"/>
    <w:rsid w:val="00516A96"/>
    <w:rsid w:val="0051766A"/>
    <w:rsid w:val="00524636"/>
    <w:rsid w:val="005322E4"/>
    <w:rsid w:val="00535C89"/>
    <w:rsid w:val="00561C20"/>
    <w:rsid w:val="00583458"/>
    <w:rsid w:val="0059212B"/>
    <w:rsid w:val="005C08F2"/>
    <w:rsid w:val="005C2AAA"/>
    <w:rsid w:val="005C42CD"/>
    <w:rsid w:val="005C6926"/>
    <w:rsid w:val="005D1B2B"/>
    <w:rsid w:val="005E3AFF"/>
    <w:rsid w:val="00601829"/>
    <w:rsid w:val="0063212E"/>
    <w:rsid w:val="00644FB7"/>
    <w:rsid w:val="00645203"/>
    <w:rsid w:val="006475D0"/>
    <w:rsid w:val="00661F6D"/>
    <w:rsid w:val="00667512"/>
    <w:rsid w:val="0067517F"/>
    <w:rsid w:val="00681A9F"/>
    <w:rsid w:val="00692845"/>
    <w:rsid w:val="006934ED"/>
    <w:rsid w:val="00693ECD"/>
    <w:rsid w:val="006A1B66"/>
    <w:rsid w:val="006C2182"/>
    <w:rsid w:val="006C3A52"/>
    <w:rsid w:val="006F43DB"/>
    <w:rsid w:val="00701C8F"/>
    <w:rsid w:val="007046F5"/>
    <w:rsid w:val="0071026B"/>
    <w:rsid w:val="0072183A"/>
    <w:rsid w:val="0072305C"/>
    <w:rsid w:val="007270BD"/>
    <w:rsid w:val="00733806"/>
    <w:rsid w:val="0074366C"/>
    <w:rsid w:val="00744BE7"/>
    <w:rsid w:val="007503B1"/>
    <w:rsid w:val="007642B7"/>
    <w:rsid w:val="007A3E41"/>
    <w:rsid w:val="007C2931"/>
    <w:rsid w:val="007D2B95"/>
    <w:rsid w:val="007F5113"/>
    <w:rsid w:val="008132D4"/>
    <w:rsid w:val="00826324"/>
    <w:rsid w:val="008525ED"/>
    <w:rsid w:val="00862025"/>
    <w:rsid w:val="00875F7F"/>
    <w:rsid w:val="00886296"/>
    <w:rsid w:val="00892898"/>
    <w:rsid w:val="008A1741"/>
    <w:rsid w:val="008B12E6"/>
    <w:rsid w:val="008B1927"/>
    <w:rsid w:val="008C090E"/>
    <w:rsid w:val="008C285F"/>
    <w:rsid w:val="008C5F4B"/>
    <w:rsid w:val="008D49E7"/>
    <w:rsid w:val="008F367A"/>
    <w:rsid w:val="0091070B"/>
    <w:rsid w:val="00916F3E"/>
    <w:rsid w:val="00927CD9"/>
    <w:rsid w:val="0093432A"/>
    <w:rsid w:val="009519EF"/>
    <w:rsid w:val="00955153"/>
    <w:rsid w:val="00955295"/>
    <w:rsid w:val="00962585"/>
    <w:rsid w:val="00973099"/>
    <w:rsid w:val="009819B6"/>
    <w:rsid w:val="009836E2"/>
    <w:rsid w:val="00987221"/>
    <w:rsid w:val="00994DF7"/>
    <w:rsid w:val="009C1B78"/>
    <w:rsid w:val="00A11636"/>
    <w:rsid w:val="00A31B97"/>
    <w:rsid w:val="00A4320A"/>
    <w:rsid w:val="00A437D1"/>
    <w:rsid w:val="00A7274C"/>
    <w:rsid w:val="00A90227"/>
    <w:rsid w:val="00A914D1"/>
    <w:rsid w:val="00AB3753"/>
    <w:rsid w:val="00AB7DA6"/>
    <w:rsid w:val="00AC4373"/>
    <w:rsid w:val="00AD0E54"/>
    <w:rsid w:val="00B11488"/>
    <w:rsid w:val="00B20BDD"/>
    <w:rsid w:val="00B463FB"/>
    <w:rsid w:val="00B662C3"/>
    <w:rsid w:val="00B92DB9"/>
    <w:rsid w:val="00BA35F2"/>
    <w:rsid w:val="00BA480E"/>
    <w:rsid w:val="00BC6497"/>
    <w:rsid w:val="00BD43D8"/>
    <w:rsid w:val="00BE4D4E"/>
    <w:rsid w:val="00BE5811"/>
    <w:rsid w:val="00C007DF"/>
    <w:rsid w:val="00C140F1"/>
    <w:rsid w:val="00CB01B9"/>
    <w:rsid w:val="00CB628F"/>
    <w:rsid w:val="00CC19CB"/>
    <w:rsid w:val="00CC5944"/>
    <w:rsid w:val="00CC5DB7"/>
    <w:rsid w:val="00CE1AF0"/>
    <w:rsid w:val="00CF55B1"/>
    <w:rsid w:val="00D20455"/>
    <w:rsid w:val="00D21396"/>
    <w:rsid w:val="00D21CAA"/>
    <w:rsid w:val="00D35462"/>
    <w:rsid w:val="00D47A09"/>
    <w:rsid w:val="00D66330"/>
    <w:rsid w:val="00D705CF"/>
    <w:rsid w:val="00D724A7"/>
    <w:rsid w:val="00D75B4D"/>
    <w:rsid w:val="00DA50E0"/>
    <w:rsid w:val="00DA754E"/>
    <w:rsid w:val="00DB0004"/>
    <w:rsid w:val="00DD2354"/>
    <w:rsid w:val="00E23A68"/>
    <w:rsid w:val="00E309B2"/>
    <w:rsid w:val="00E35A05"/>
    <w:rsid w:val="00E36F4B"/>
    <w:rsid w:val="00E429B0"/>
    <w:rsid w:val="00E56AF1"/>
    <w:rsid w:val="00E76A84"/>
    <w:rsid w:val="00E942A0"/>
    <w:rsid w:val="00EB4E38"/>
    <w:rsid w:val="00EE5933"/>
    <w:rsid w:val="00EF6097"/>
    <w:rsid w:val="00F1081B"/>
    <w:rsid w:val="00F2042D"/>
    <w:rsid w:val="00F256C4"/>
    <w:rsid w:val="00F61F94"/>
    <w:rsid w:val="00F70AB6"/>
    <w:rsid w:val="00F9329C"/>
    <w:rsid w:val="00F94519"/>
    <w:rsid w:val="00FA28CD"/>
    <w:rsid w:val="00FA2D1F"/>
    <w:rsid w:val="00FA41FC"/>
    <w:rsid w:val="00FC63EF"/>
    <w:rsid w:val="00FD6207"/>
    <w:rsid w:val="00FD6CAE"/>
    <w:rsid w:val="00FE7BFA"/>
    <w:rsid w:val="00FF1A70"/>
    <w:rsid w:val="00FF7C2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F0047"/>
  <w15:chartTrackingRefBased/>
  <w15:docId w15:val="{68524ADD-6874-4DEF-9F93-C3A4DC877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0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71B0A"/>
    <w:rPr>
      <w:color w:val="D18D85" w:themeColor="hyperlink"/>
      <w:u w:val="single"/>
    </w:rPr>
  </w:style>
  <w:style w:type="paragraph" w:styleId="BalloonText">
    <w:name w:val="Balloon Text"/>
    <w:basedOn w:val="Normal"/>
    <w:link w:val="BalloonTextChar"/>
    <w:uiPriority w:val="99"/>
    <w:semiHidden/>
    <w:unhideWhenUsed/>
    <w:rsid w:val="00053B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3B79"/>
    <w:rPr>
      <w:rFonts w:ascii="Segoe UI" w:hAnsi="Segoe UI" w:cs="Segoe UI"/>
      <w:sz w:val="18"/>
      <w:szCs w:val="18"/>
    </w:rPr>
  </w:style>
  <w:style w:type="paragraph" w:styleId="Header">
    <w:name w:val="header"/>
    <w:basedOn w:val="Normal"/>
    <w:link w:val="HeaderChar"/>
    <w:uiPriority w:val="99"/>
    <w:unhideWhenUsed/>
    <w:rsid w:val="008C090E"/>
    <w:pPr>
      <w:tabs>
        <w:tab w:val="center" w:pos="4153"/>
        <w:tab w:val="right" w:pos="8306"/>
      </w:tabs>
      <w:spacing w:after="0" w:line="240" w:lineRule="auto"/>
    </w:pPr>
  </w:style>
  <w:style w:type="character" w:customStyle="1" w:styleId="HeaderChar">
    <w:name w:val="Header Char"/>
    <w:basedOn w:val="DefaultParagraphFont"/>
    <w:link w:val="Header"/>
    <w:uiPriority w:val="99"/>
    <w:rsid w:val="008C090E"/>
  </w:style>
  <w:style w:type="paragraph" w:styleId="Footer">
    <w:name w:val="footer"/>
    <w:basedOn w:val="Normal"/>
    <w:link w:val="FooterChar"/>
    <w:uiPriority w:val="99"/>
    <w:unhideWhenUsed/>
    <w:rsid w:val="008C090E"/>
    <w:pPr>
      <w:tabs>
        <w:tab w:val="center" w:pos="4153"/>
        <w:tab w:val="right" w:pos="8306"/>
      </w:tabs>
      <w:spacing w:after="0" w:line="240" w:lineRule="auto"/>
    </w:pPr>
  </w:style>
  <w:style w:type="character" w:customStyle="1" w:styleId="FooterChar">
    <w:name w:val="Footer Char"/>
    <w:basedOn w:val="DefaultParagraphFont"/>
    <w:link w:val="Footer"/>
    <w:uiPriority w:val="99"/>
    <w:rsid w:val="008C090E"/>
  </w:style>
  <w:style w:type="paragraph" w:styleId="ListParagraph">
    <w:name w:val="List Paragraph"/>
    <w:aliases w:val="2,Saistīto dokumentu saraksts,Syle 1,Normal bullet 2,Bullet list,Strip,H&amp;P List Paragraph,Virsraksti,Numbered Para 1,Dot pt,List Paragraph Char Char Char,Indicator Text,Bullet Points,MAIN CONTENT,IFCL - List Paragraph,List Paragraph12"/>
    <w:basedOn w:val="Normal"/>
    <w:link w:val="ListParagraphChar"/>
    <w:uiPriority w:val="34"/>
    <w:qFormat/>
    <w:rsid w:val="00E429B0"/>
    <w:pPr>
      <w:ind w:left="720"/>
      <w:contextualSpacing/>
    </w:pPr>
  </w:style>
  <w:style w:type="character" w:customStyle="1" w:styleId="ListParagraphChar">
    <w:name w:val="List Paragraph Char"/>
    <w:aliases w:val="2 Char,Saistīto dokumentu saraksts Char,Syle 1 Char,Normal bullet 2 Char,Bullet list Char,Strip Char,H&amp;P List Paragraph Char,Virsraksti Char,Numbered Para 1 Char,Dot pt Char,List Paragraph Char Char Char Char,Indicator Text Char"/>
    <w:link w:val="ListParagraph"/>
    <w:uiPriority w:val="34"/>
    <w:qFormat/>
    <w:locked/>
    <w:rsid w:val="003B5874"/>
  </w:style>
  <w:style w:type="character" w:customStyle="1" w:styleId="ListParagraphChar1">
    <w:name w:val="List Paragraph Char1"/>
    <w:aliases w:val="2 Char1,Saistīto dokumentu saraksts Char1,Syle 1 Char1,Normal bullet 2 Char1,Bullet list Char1,Strip Char1,H&amp;P List Paragraph Char1,Virsraksti Char1,Numbered Para 1 Char1,Dot pt Char1,List Paragraph Char Char Char Char1"/>
    <w:uiPriority w:val="99"/>
    <w:qFormat/>
    <w:locked/>
    <w:rsid w:val="003B5874"/>
    <w:rPr>
      <w:rFonts w:ascii="Calibri" w:eastAsia="Calibri" w:hAnsi="Calibri" w:cs="Times New Roman"/>
      <w:szCs w:val="20"/>
    </w:rPr>
  </w:style>
  <w:style w:type="character" w:styleId="CommentReference">
    <w:name w:val="annotation reference"/>
    <w:basedOn w:val="DefaultParagraphFont"/>
    <w:uiPriority w:val="99"/>
    <w:semiHidden/>
    <w:unhideWhenUsed/>
    <w:rsid w:val="003B5874"/>
    <w:rPr>
      <w:sz w:val="16"/>
      <w:szCs w:val="16"/>
    </w:rPr>
  </w:style>
  <w:style w:type="paragraph" w:styleId="CommentText">
    <w:name w:val="annotation text"/>
    <w:basedOn w:val="Normal"/>
    <w:link w:val="CommentTextChar"/>
    <w:uiPriority w:val="99"/>
    <w:semiHidden/>
    <w:unhideWhenUsed/>
    <w:rsid w:val="003B5874"/>
    <w:pPr>
      <w:spacing w:line="240" w:lineRule="auto"/>
    </w:pPr>
    <w:rPr>
      <w:sz w:val="20"/>
      <w:szCs w:val="20"/>
    </w:rPr>
  </w:style>
  <w:style w:type="character" w:customStyle="1" w:styleId="CommentTextChar">
    <w:name w:val="Comment Text Char"/>
    <w:basedOn w:val="DefaultParagraphFont"/>
    <w:link w:val="CommentText"/>
    <w:uiPriority w:val="99"/>
    <w:semiHidden/>
    <w:rsid w:val="003B5874"/>
    <w:rPr>
      <w:sz w:val="20"/>
      <w:szCs w:val="20"/>
    </w:rPr>
  </w:style>
  <w:style w:type="paragraph" w:styleId="CommentSubject">
    <w:name w:val="annotation subject"/>
    <w:basedOn w:val="CommentText"/>
    <w:next w:val="CommentText"/>
    <w:link w:val="CommentSubjectChar"/>
    <w:uiPriority w:val="99"/>
    <w:semiHidden/>
    <w:unhideWhenUsed/>
    <w:rsid w:val="003B5874"/>
    <w:rPr>
      <w:b/>
      <w:bCs/>
    </w:rPr>
  </w:style>
  <w:style w:type="character" w:customStyle="1" w:styleId="CommentSubjectChar">
    <w:name w:val="Comment Subject Char"/>
    <w:basedOn w:val="CommentTextChar"/>
    <w:link w:val="CommentSubject"/>
    <w:uiPriority w:val="99"/>
    <w:semiHidden/>
    <w:rsid w:val="003B5874"/>
    <w:rPr>
      <w:b/>
      <w:bCs/>
      <w:sz w:val="20"/>
      <w:szCs w:val="20"/>
    </w:rPr>
  </w:style>
  <w:style w:type="character" w:styleId="UnresolvedMention">
    <w:name w:val="Unresolved Mention"/>
    <w:basedOn w:val="DefaultParagraphFont"/>
    <w:uiPriority w:val="99"/>
    <w:semiHidden/>
    <w:unhideWhenUsed/>
    <w:rsid w:val="00D75B4D"/>
    <w:rPr>
      <w:color w:val="605E5C"/>
      <w:shd w:val="clear" w:color="auto" w:fill="E1DFDD"/>
    </w:rPr>
  </w:style>
  <w:style w:type="paragraph" w:styleId="NormalWeb">
    <w:name w:val="Normal (Web)"/>
    <w:basedOn w:val="Normal"/>
    <w:uiPriority w:val="99"/>
    <w:semiHidden/>
    <w:unhideWhenUsed/>
    <w:rsid w:val="00535C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dq2pgselectionanchorcontainer">
    <w:name w:val="pdq2pg_selectionanchorcontainer"/>
    <w:basedOn w:val="Normal"/>
    <w:rsid w:val="00263198"/>
    <w:pPr>
      <w:spacing w:before="100" w:beforeAutospacing="1" w:after="100" w:afterAutospacing="1" w:line="240" w:lineRule="auto"/>
    </w:pPr>
    <w:rPr>
      <w:rFonts w:ascii="Times New Roman" w:eastAsia="Times New Roman" w:hAnsi="Times New Roman" w:cs="Times New Roman"/>
      <w:sz w:val="24"/>
      <w:szCs w:val="24"/>
      <w:lang w:val="en-150" w:eastAsia="en-150"/>
    </w:rPr>
  </w:style>
  <w:style w:type="character" w:styleId="Strong">
    <w:name w:val="Strong"/>
    <w:basedOn w:val="DefaultParagraphFont"/>
    <w:uiPriority w:val="22"/>
    <w:qFormat/>
    <w:rsid w:val="00E23A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73390">
      <w:bodyDiv w:val="1"/>
      <w:marLeft w:val="0"/>
      <w:marRight w:val="0"/>
      <w:marTop w:val="0"/>
      <w:marBottom w:val="0"/>
      <w:divBdr>
        <w:top w:val="none" w:sz="0" w:space="0" w:color="auto"/>
        <w:left w:val="none" w:sz="0" w:space="0" w:color="auto"/>
        <w:bottom w:val="none" w:sz="0" w:space="0" w:color="auto"/>
        <w:right w:val="none" w:sz="0" w:space="0" w:color="auto"/>
      </w:divBdr>
    </w:div>
    <w:div w:id="639387209">
      <w:bodyDiv w:val="1"/>
      <w:marLeft w:val="0"/>
      <w:marRight w:val="0"/>
      <w:marTop w:val="0"/>
      <w:marBottom w:val="0"/>
      <w:divBdr>
        <w:top w:val="none" w:sz="0" w:space="0" w:color="auto"/>
        <w:left w:val="none" w:sz="0" w:space="0" w:color="auto"/>
        <w:bottom w:val="none" w:sz="0" w:space="0" w:color="auto"/>
        <w:right w:val="none" w:sz="0" w:space="0" w:color="auto"/>
      </w:divBdr>
    </w:div>
    <w:div w:id="992638775">
      <w:bodyDiv w:val="1"/>
      <w:marLeft w:val="0"/>
      <w:marRight w:val="0"/>
      <w:marTop w:val="0"/>
      <w:marBottom w:val="0"/>
      <w:divBdr>
        <w:top w:val="none" w:sz="0" w:space="0" w:color="auto"/>
        <w:left w:val="none" w:sz="0" w:space="0" w:color="auto"/>
        <w:bottom w:val="none" w:sz="0" w:space="0" w:color="auto"/>
        <w:right w:val="none" w:sz="0" w:space="0" w:color="auto"/>
      </w:divBdr>
    </w:div>
    <w:div w:id="1431003589">
      <w:bodyDiv w:val="1"/>
      <w:marLeft w:val="0"/>
      <w:marRight w:val="0"/>
      <w:marTop w:val="0"/>
      <w:marBottom w:val="0"/>
      <w:divBdr>
        <w:top w:val="none" w:sz="0" w:space="0" w:color="auto"/>
        <w:left w:val="none" w:sz="0" w:space="0" w:color="auto"/>
        <w:bottom w:val="none" w:sz="0" w:space="0" w:color="auto"/>
        <w:right w:val="none" w:sz="0" w:space="0" w:color="auto"/>
      </w:divBdr>
    </w:div>
    <w:div w:id="206425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na.petersa@vugd.gov.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VUGD_V1">
      <a:dk1>
        <a:sysClr val="windowText" lastClr="000000"/>
      </a:dk1>
      <a:lt1>
        <a:sysClr val="window" lastClr="FFFFFF"/>
      </a:lt1>
      <a:dk2>
        <a:srgbClr val="525A72"/>
      </a:dk2>
      <a:lt2>
        <a:srgbClr val="E7E6E6"/>
      </a:lt2>
      <a:accent1>
        <a:srgbClr val="CFD6E8"/>
      </a:accent1>
      <a:accent2>
        <a:srgbClr val="525A72"/>
      </a:accent2>
      <a:accent3>
        <a:srgbClr val="A8192D"/>
      </a:accent3>
      <a:accent4>
        <a:srgbClr val="D18D85"/>
      </a:accent4>
      <a:accent5>
        <a:srgbClr val="A4A3B2"/>
      </a:accent5>
      <a:accent6>
        <a:srgbClr val="D0CFD7"/>
      </a:accent6>
      <a:hlink>
        <a:srgbClr val="D18D85"/>
      </a:hlink>
      <a:folHlink>
        <a:srgbClr val="525A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A09D8-BCC9-4CCD-B47D-EFB8406D7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977</Words>
  <Characters>5572</Characters>
  <Application>Microsoft Office Word</Application>
  <DocSecurity>0</DocSecurity>
  <Lines>46</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VUGD</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Valdis Cielēns</dc:creator>
  <cp:keywords/>
  <dc:description/>
  <cp:lastModifiedBy>Diāna Petersa</cp:lastModifiedBy>
  <cp:revision>2</cp:revision>
  <cp:lastPrinted>2019-03-12T12:41:00Z</cp:lastPrinted>
  <dcterms:created xsi:type="dcterms:W3CDTF">2026-07-14T06:51:00Z</dcterms:created>
  <dcterms:modified xsi:type="dcterms:W3CDTF">2026-07-14T06:51:00Z</dcterms:modified>
</cp:coreProperties>
</file>