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1B8" w:rsidRPr="005D1B2B" w:rsidRDefault="003E11B8" w:rsidP="003E11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5387"/>
      </w:tblGrid>
      <w:tr w:rsidR="003E11B8" w:rsidRPr="00396B2F" w:rsidTr="000B203A">
        <w:tc>
          <w:tcPr>
            <w:tcW w:w="4148" w:type="dxa"/>
            <w:shd w:val="clear" w:color="auto" w:fill="C5E0B3" w:themeFill="accent6" w:themeFillTint="66"/>
          </w:tcPr>
          <w:p w:rsidR="003E11B8" w:rsidRPr="00396B2F" w:rsidRDefault="003E11B8" w:rsidP="0031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5387" w:type="dxa"/>
            <w:shd w:val="clear" w:color="auto" w:fill="auto"/>
          </w:tcPr>
          <w:p w:rsidR="003E11B8" w:rsidRPr="00396B2F" w:rsidRDefault="003E11B8" w:rsidP="0031759E">
            <w:pPr>
              <w:spacing w:after="0"/>
              <w:jc w:val="center"/>
            </w:pPr>
          </w:p>
        </w:tc>
      </w:tr>
      <w:tr w:rsidR="003E11B8" w:rsidRPr="00396B2F" w:rsidTr="000B203A">
        <w:tc>
          <w:tcPr>
            <w:tcW w:w="4148" w:type="dxa"/>
            <w:shd w:val="clear" w:color="auto" w:fill="C5E0B3" w:themeFill="accent6" w:themeFillTint="66"/>
          </w:tcPr>
          <w:p w:rsidR="003E11B8" w:rsidRPr="00396B2F" w:rsidRDefault="003E11B8" w:rsidP="0031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5387" w:type="dxa"/>
            <w:shd w:val="clear" w:color="auto" w:fill="auto"/>
          </w:tcPr>
          <w:p w:rsidR="003E11B8" w:rsidRPr="00396B2F" w:rsidRDefault="003E11B8" w:rsidP="0031759E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3E11B8" w:rsidRPr="00396B2F" w:rsidTr="000B203A">
        <w:tc>
          <w:tcPr>
            <w:tcW w:w="4148" w:type="dxa"/>
            <w:shd w:val="clear" w:color="auto" w:fill="C5E0B3" w:themeFill="accent6" w:themeFillTint="66"/>
          </w:tcPr>
          <w:p w:rsidR="003E11B8" w:rsidRPr="00396B2F" w:rsidRDefault="003E11B8" w:rsidP="0031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5387" w:type="dxa"/>
            <w:shd w:val="clear" w:color="auto" w:fill="auto"/>
          </w:tcPr>
          <w:p w:rsidR="003E11B8" w:rsidRDefault="003E11B8" w:rsidP="0031759E">
            <w:pPr>
              <w:tabs>
                <w:tab w:val="left" w:pos="536"/>
              </w:tabs>
              <w:spacing w:after="0"/>
            </w:pPr>
          </w:p>
        </w:tc>
      </w:tr>
      <w:tr w:rsidR="003E11B8" w:rsidRPr="00396B2F" w:rsidTr="000B203A">
        <w:tc>
          <w:tcPr>
            <w:tcW w:w="4148" w:type="dxa"/>
            <w:shd w:val="clear" w:color="auto" w:fill="C5E0B3" w:themeFill="accent6" w:themeFillTint="66"/>
          </w:tcPr>
          <w:p w:rsidR="003E11B8" w:rsidRPr="00396B2F" w:rsidRDefault="003E11B8" w:rsidP="0031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5387" w:type="dxa"/>
            <w:shd w:val="clear" w:color="auto" w:fill="auto"/>
          </w:tcPr>
          <w:p w:rsidR="003E11B8" w:rsidRDefault="003E11B8" w:rsidP="0031759E">
            <w:pPr>
              <w:tabs>
                <w:tab w:val="left" w:pos="536"/>
              </w:tabs>
              <w:spacing w:after="0"/>
            </w:pPr>
          </w:p>
        </w:tc>
      </w:tr>
      <w:tr w:rsidR="003E11B8" w:rsidRPr="00396B2F" w:rsidTr="000B203A">
        <w:tc>
          <w:tcPr>
            <w:tcW w:w="4148" w:type="dxa"/>
            <w:shd w:val="clear" w:color="auto" w:fill="C5E0B3" w:themeFill="accent6" w:themeFillTint="66"/>
          </w:tcPr>
          <w:p w:rsidR="003E11B8" w:rsidRPr="00396B2F" w:rsidRDefault="003E11B8" w:rsidP="0031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5387" w:type="dxa"/>
            <w:shd w:val="clear" w:color="auto" w:fill="auto"/>
          </w:tcPr>
          <w:p w:rsidR="003E11B8" w:rsidRDefault="003E11B8" w:rsidP="0031759E">
            <w:pPr>
              <w:tabs>
                <w:tab w:val="left" w:pos="536"/>
              </w:tabs>
              <w:spacing w:after="0"/>
            </w:pPr>
          </w:p>
        </w:tc>
      </w:tr>
      <w:tr w:rsidR="003E11B8" w:rsidRPr="00396B2F" w:rsidTr="000B203A">
        <w:tc>
          <w:tcPr>
            <w:tcW w:w="4148" w:type="dxa"/>
            <w:shd w:val="clear" w:color="auto" w:fill="C5E0B3" w:themeFill="accent6" w:themeFillTint="66"/>
          </w:tcPr>
          <w:p w:rsidR="003E11B8" w:rsidRPr="00396B2F" w:rsidRDefault="003E11B8" w:rsidP="0031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5387" w:type="dxa"/>
            <w:shd w:val="clear" w:color="auto" w:fill="auto"/>
          </w:tcPr>
          <w:p w:rsidR="003E11B8" w:rsidRPr="00396B2F" w:rsidRDefault="003E11B8" w:rsidP="0031759E">
            <w:pPr>
              <w:spacing w:after="0"/>
              <w:jc w:val="center"/>
            </w:pPr>
          </w:p>
        </w:tc>
      </w:tr>
      <w:tr w:rsidR="003E11B8" w:rsidRPr="00396B2F" w:rsidTr="000B203A">
        <w:tc>
          <w:tcPr>
            <w:tcW w:w="4148" w:type="dxa"/>
            <w:shd w:val="clear" w:color="auto" w:fill="C5E0B3" w:themeFill="accent6" w:themeFillTint="66"/>
          </w:tcPr>
          <w:p w:rsidR="003E11B8" w:rsidRPr="00396B2F" w:rsidRDefault="003E11B8" w:rsidP="0031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5387" w:type="dxa"/>
            <w:shd w:val="clear" w:color="auto" w:fill="auto"/>
          </w:tcPr>
          <w:p w:rsidR="003E11B8" w:rsidRPr="00396B2F" w:rsidRDefault="003E11B8" w:rsidP="0031759E">
            <w:pPr>
              <w:spacing w:after="0"/>
              <w:jc w:val="center"/>
            </w:pPr>
          </w:p>
        </w:tc>
      </w:tr>
    </w:tbl>
    <w:p w:rsidR="0062770E" w:rsidRPr="0062770E" w:rsidRDefault="0062770E" w:rsidP="006D577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62770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TEHNISKĀ SPECIFIKĀCIJA UN TEHNISKAIS PIEDĀVĀJUMS</w:t>
      </w:r>
    </w:p>
    <w:p w:rsidR="00A56A02" w:rsidRPr="0062770E" w:rsidRDefault="004D38FC" w:rsidP="000B203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Ugunsdzēsēju aizsargķiveres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pasega</w:t>
      </w:r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519"/>
        <w:gridCol w:w="3961"/>
        <w:gridCol w:w="3331"/>
      </w:tblGrid>
      <w:tr w:rsidR="00A56A02" w:rsidRPr="00A56A02" w:rsidTr="006D5777">
        <w:trPr>
          <w:trHeight w:val="300"/>
          <w:tblHeader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56A02" w:rsidRPr="003E11B8" w:rsidRDefault="00A56A02" w:rsidP="00A5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  <w:p w:rsidR="00A56A02" w:rsidRPr="003E11B8" w:rsidRDefault="00A56A02" w:rsidP="00A5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56A02" w:rsidRPr="003E11B8" w:rsidRDefault="00A56A02" w:rsidP="00A5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Parametrs</w:t>
            </w:r>
          </w:p>
        </w:tc>
        <w:tc>
          <w:tcPr>
            <w:tcW w:w="2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56A02" w:rsidRPr="003E11B8" w:rsidRDefault="00A56A02" w:rsidP="00A5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Tehniskās prasības</w:t>
            </w:r>
          </w:p>
        </w:tc>
        <w:tc>
          <w:tcPr>
            <w:tcW w:w="1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A56A02" w:rsidRPr="003E11B8" w:rsidRDefault="00A56A02" w:rsidP="00A5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Pretendenta piedāvājums</w:t>
            </w:r>
          </w:p>
        </w:tc>
      </w:tr>
      <w:tr w:rsidR="004D38FC" w:rsidRPr="00A56A02" w:rsidTr="006D5777">
        <w:trPr>
          <w:trHeight w:val="206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1B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8FC" w:rsidRPr="001B35A9" w:rsidRDefault="004D38FC" w:rsidP="001B35A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Pretendents norāda ugunsdzēsēju aizsargķiveres </w:t>
            </w:r>
            <w:proofErr w:type="spellStart"/>
            <w:r>
              <w:rPr>
                <w:rFonts w:ascii="Times New Roman" w:hAnsi="Times New Roman" w:cs="Times New Roman"/>
              </w:rPr>
              <w:t>pasegas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ražotāju un modeli.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8FC" w:rsidRPr="003E11B8" w:rsidRDefault="004D38FC" w:rsidP="001B3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B35A9" w:rsidRPr="00A56A02" w:rsidTr="006D5777">
        <w:trPr>
          <w:trHeight w:val="2762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A9" w:rsidRPr="003E11B8" w:rsidRDefault="004D38FC" w:rsidP="001B3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A9" w:rsidRPr="001B35A9" w:rsidRDefault="001B35A9" w:rsidP="001B35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1B35A9">
              <w:rPr>
                <w:rFonts w:ascii="Times New Roman" w:eastAsia="Times New Roman" w:hAnsi="Times New Roman" w:cs="Times New Roman"/>
                <w:bCs/>
                <w:lang w:eastAsia="lv-LV"/>
              </w:rPr>
              <w:t>Normatīvie akti, kuriem precei jāatbilst: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5A9" w:rsidRPr="001B35A9" w:rsidRDefault="001B35A9" w:rsidP="001B35A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 xml:space="preserve">2016.gada 9.marta EIROPAS PARLAMENTA UN PADOMES REGULA 2016/425 par individuālajiem aizsardzības līdzekļiem un ar ko atceļ Padomes Direktīvu 89/686/EEK; </w:t>
            </w:r>
            <w:r w:rsidRPr="001B35A9">
              <w:rPr>
                <w:rFonts w:ascii="Times New Roman" w:hAnsi="Times New Roman" w:cs="Times New Roman"/>
              </w:rPr>
              <w:br/>
              <w:t xml:space="preserve">Latvijas standarts LVS EN 13911:2017   </w:t>
            </w:r>
            <w:r>
              <w:rPr>
                <w:rFonts w:ascii="Times New Roman" w:hAnsi="Times New Roman" w:cs="Times New Roman"/>
              </w:rPr>
              <w:t>“</w:t>
            </w:r>
            <w:r w:rsidRPr="001B35A9">
              <w:rPr>
                <w:rFonts w:ascii="Times New Roman" w:hAnsi="Times New Roman" w:cs="Times New Roman"/>
              </w:rPr>
              <w:t>Ugunsdzēsēju aizsargapģērbs</w:t>
            </w:r>
            <w:r>
              <w:rPr>
                <w:rFonts w:ascii="Times New Roman" w:hAnsi="Times New Roman" w:cs="Times New Roman"/>
              </w:rPr>
              <w:t>.</w:t>
            </w:r>
            <w:r w:rsidRPr="001B35A9">
              <w:rPr>
                <w:rFonts w:ascii="Times New Roman" w:hAnsi="Times New Roman" w:cs="Times New Roman"/>
              </w:rPr>
              <w:t xml:space="preserve"> Prasības un testa metodes ugunsdzēsēju kapucēm</w:t>
            </w:r>
            <w:r>
              <w:rPr>
                <w:rFonts w:ascii="Times New Roman" w:hAnsi="Times New Roman" w:cs="Times New Roman"/>
              </w:rPr>
              <w:t>”</w:t>
            </w:r>
            <w:r w:rsidRPr="001B35A9">
              <w:rPr>
                <w:rFonts w:ascii="Times New Roman" w:hAnsi="Times New Roman" w:cs="Times New Roman"/>
              </w:rPr>
              <w:t xml:space="preserve"> vai ekvivalents; </w:t>
            </w:r>
            <w:r w:rsidRPr="001B35A9">
              <w:rPr>
                <w:rFonts w:ascii="Times New Roman" w:hAnsi="Times New Roman" w:cs="Times New Roman"/>
              </w:rPr>
              <w:br/>
              <w:t xml:space="preserve">Latvijas standarts LVS EN 13688 </w:t>
            </w:r>
            <w:r>
              <w:rPr>
                <w:rFonts w:ascii="Times New Roman" w:hAnsi="Times New Roman" w:cs="Times New Roman"/>
              </w:rPr>
              <w:t>“</w:t>
            </w:r>
            <w:r w:rsidRPr="001B35A9">
              <w:rPr>
                <w:rFonts w:ascii="Times New Roman" w:hAnsi="Times New Roman" w:cs="Times New Roman"/>
              </w:rPr>
              <w:t>Ugunsdzēsēju aizsargapģērbs</w:t>
            </w:r>
            <w:r w:rsidR="000B20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B35A9">
              <w:rPr>
                <w:rFonts w:ascii="Times New Roman" w:hAnsi="Times New Roman" w:cs="Times New Roman"/>
              </w:rPr>
              <w:t>Visparīgās</w:t>
            </w:r>
            <w:proofErr w:type="spellEnd"/>
            <w:r w:rsidRPr="001B35A9">
              <w:rPr>
                <w:rFonts w:ascii="Times New Roman" w:hAnsi="Times New Roman" w:cs="Times New Roman"/>
              </w:rPr>
              <w:t xml:space="preserve"> prasības</w:t>
            </w:r>
            <w:r w:rsidR="000B203A">
              <w:rPr>
                <w:rFonts w:ascii="Times New Roman" w:hAnsi="Times New Roman" w:cs="Times New Roman"/>
              </w:rPr>
              <w:t>”</w:t>
            </w:r>
            <w:r w:rsidRPr="001B35A9">
              <w:rPr>
                <w:rFonts w:ascii="Times New Roman" w:hAnsi="Times New Roman" w:cs="Times New Roman"/>
              </w:rPr>
              <w:t xml:space="preserve"> vai ekvivalents.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A9" w:rsidRPr="003E11B8" w:rsidRDefault="001B35A9" w:rsidP="001B3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3E11B8" w:rsidRPr="00A56A02" w:rsidTr="001B35A9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3E11B8" w:rsidRPr="003E11B8" w:rsidRDefault="003E11B8" w:rsidP="003E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Vispārējais apraksts:</w:t>
            </w:r>
          </w:p>
        </w:tc>
      </w:tr>
      <w:tr w:rsidR="004D38FC" w:rsidRPr="00A56A02" w:rsidTr="006D5777">
        <w:trPr>
          <w:trHeight w:val="10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Pielietojums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 xml:space="preserve">Ķiveres </w:t>
            </w:r>
            <w:proofErr w:type="spellStart"/>
            <w:r w:rsidRPr="001B35A9">
              <w:rPr>
                <w:rFonts w:ascii="Times New Roman" w:hAnsi="Times New Roman" w:cs="Times New Roman"/>
              </w:rPr>
              <w:t>pasega</w:t>
            </w:r>
            <w:proofErr w:type="spellEnd"/>
            <w:r w:rsidRPr="001B35A9">
              <w:rPr>
                <w:rFonts w:ascii="Times New Roman" w:hAnsi="Times New Roman" w:cs="Times New Roman"/>
              </w:rPr>
              <w:t xml:space="preserve"> paredzēta, lai nodrošinātu ugunsdzēsēja galvas un kakla aizsardzību pret bīstamiem un kaitīgiem apkārtējās vides faktoriem, dzēšot ugunsgrēkus un veicot glābšanas darbus, kā arī pret </w:t>
            </w:r>
            <w:r w:rsidRPr="004D38FC">
              <w:rPr>
                <w:rFonts w:ascii="Times New Roman" w:hAnsi="Times New Roman" w:cs="Times New Roman"/>
              </w:rPr>
              <w:t xml:space="preserve">nelabvēlīgiem klimatiskajiem apstākļiem, </w:t>
            </w:r>
            <w:r w:rsidRPr="004D38FC">
              <w:rPr>
                <w:rFonts w:ascii="Times New Roman" w:hAnsi="Times New Roman" w:cs="Times New Roman"/>
                <w:color w:val="000000" w:themeColor="text1"/>
              </w:rPr>
              <w:t>nesamazinot redzamības lauku un netraucējot elpošanai, ļaujot izmantot aizsargķiveres brilles un sakaru iekārtas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51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Konstrukcija: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 xml:space="preserve">Ķiveres </w:t>
            </w:r>
            <w:proofErr w:type="spellStart"/>
            <w:r w:rsidRPr="001B35A9">
              <w:rPr>
                <w:rFonts w:ascii="Times New Roman" w:hAnsi="Times New Roman" w:cs="Times New Roman"/>
              </w:rPr>
              <w:t>pasega</w:t>
            </w:r>
            <w:proofErr w:type="spellEnd"/>
            <w:r w:rsidRPr="001B35A9">
              <w:rPr>
                <w:rFonts w:ascii="Times New Roman" w:hAnsi="Times New Roman" w:cs="Times New Roman"/>
              </w:rPr>
              <w:t xml:space="preserve"> tiek veidota cilvēka galvas formā. Sejas daļā noapaļotas formas izgriezums ar elastīgu izgriezuma malas apstrādi. </w:t>
            </w:r>
            <w:proofErr w:type="spellStart"/>
            <w:r w:rsidRPr="001B35A9">
              <w:rPr>
                <w:rFonts w:ascii="Times New Roman" w:hAnsi="Times New Roman" w:cs="Times New Roman"/>
              </w:rPr>
              <w:t>Pasega</w:t>
            </w:r>
            <w:proofErr w:type="spellEnd"/>
            <w:r w:rsidRPr="001B35A9">
              <w:rPr>
                <w:rFonts w:ascii="Times New Roman" w:hAnsi="Times New Roman" w:cs="Times New Roman"/>
              </w:rPr>
              <w:t xml:space="preserve"> sastāv no divām kārtām (slāņiem). Viena izmēra. Izgriezuma formai jānodrošina sejas un galvas aizsardzība ugunsdzēsēju elpošanas aparāta sejas maskas izmantošanas laikā.  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4D38FC">
        <w:trPr>
          <w:trHeight w:val="31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57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FC" w:rsidRPr="000B203A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Materiāls:</w:t>
            </w:r>
          </w:p>
        </w:tc>
      </w:tr>
      <w:tr w:rsidR="004D38FC" w:rsidRPr="00A56A02" w:rsidTr="006D5777">
        <w:trPr>
          <w:trHeight w:val="449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Virsējai kārtai (slānim)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Virsējai kārtai (slānim)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35A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35A9">
              <w:rPr>
                <w:rFonts w:ascii="Times New Roman" w:hAnsi="Times New Roman" w:cs="Times New Roman"/>
              </w:rPr>
              <w:t>termoizturīga</w:t>
            </w:r>
            <w:proofErr w:type="spellEnd"/>
            <w:r w:rsidRPr="001B35A9">
              <w:rPr>
                <w:rFonts w:ascii="Times New Roman" w:hAnsi="Times New Roman" w:cs="Times New Roman"/>
              </w:rPr>
              <w:t xml:space="preserve"> trikotāža (piemēram, </w:t>
            </w:r>
            <w:proofErr w:type="spellStart"/>
            <w:r w:rsidRPr="001B35A9">
              <w:rPr>
                <w:rFonts w:ascii="Times New Roman" w:hAnsi="Times New Roman" w:cs="Times New Roman"/>
              </w:rPr>
              <w:t>Nomex</w:t>
            </w:r>
            <w:proofErr w:type="spellEnd"/>
            <w:r w:rsidRPr="001B35A9">
              <w:rPr>
                <w:rFonts w:ascii="Times New Roman" w:hAnsi="Times New Roman" w:cs="Times New Roman"/>
              </w:rPr>
              <w:t xml:space="preserve"> vai ekvivalents).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5.2.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Iekšējai kārtai (slānim)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C035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Iekšējais slānis no materiāla, kas nodrošina higiēnas un ekspluatācijas prasības (</w:t>
            </w:r>
            <w:proofErr w:type="spellStart"/>
            <w:r w:rsidRPr="001B35A9">
              <w:rPr>
                <w:rFonts w:ascii="Times New Roman" w:hAnsi="Times New Roman" w:cs="Times New Roman"/>
              </w:rPr>
              <w:t>piem</w:t>
            </w:r>
            <w:proofErr w:type="spellEnd"/>
            <w:r w:rsidRPr="001B35A9">
              <w:rPr>
                <w:rFonts w:ascii="Times New Roman" w:hAnsi="Times New Roman" w:cs="Times New Roman"/>
              </w:rPr>
              <w:t>, viskoze, kokvilna).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Svars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 xml:space="preserve">Ne vairāk kā 350 </w:t>
            </w:r>
            <w:r w:rsidR="006D5777" w:rsidRPr="001B35A9">
              <w:rPr>
                <w:rFonts w:ascii="Times New Roman" w:hAnsi="Times New Roman" w:cs="Times New Roman"/>
              </w:rPr>
              <w:t>g</w:t>
            </w:r>
            <w:r w:rsidR="006D5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Krāsa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Melna vai tumši pelēka</w:t>
            </w:r>
            <w:r w:rsidR="006D5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1347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Marķējums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atbilstoši:</w:t>
            </w:r>
            <w:r w:rsidRPr="001B35A9">
              <w:rPr>
                <w:rFonts w:ascii="Times New Roman" w:hAnsi="Times New Roman" w:cs="Times New Roman"/>
              </w:rPr>
              <w:br/>
              <w:t>- 2016.gada 9.marta EIROPAS PARLAMENTA UN PADOMES REGULA 2016/425 par individuālajiem aizsardzības līdzekļiem un ar ko atceļ Padomes Direktīvu 89/686/EEK;</w:t>
            </w:r>
            <w:r w:rsidRPr="001B35A9">
              <w:rPr>
                <w:rFonts w:ascii="Times New Roman" w:hAnsi="Times New Roman" w:cs="Times New Roman"/>
              </w:rPr>
              <w:br/>
              <w:t>- standarta LVS EN 13911 vai ekvivalenta prasībām;</w:t>
            </w:r>
            <w:r w:rsidRPr="001B35A9">
              <w:rPr>
                <w:rFonts w:ascii="Times New Roman" w:hAnsi="Times New Roman" w:cs="Times New Roman"/>
              </w:rPr>
              <w:br/>
              <w:t>- standarta  LVS EN 13688 vai ekvivalenta prasībām.</w:t>
            </w:r>
            <w:r w:rsidRPr="001B35A9">
              <w:rPr>
                <w:rFonts w:ascii="Times New Roman" w:hAnsi="Times New Roman" w:cs="Times New Roman"/>
              </w:rPr>
              <w:br/>
              <w:t>CE marķējums</w:t>
            </w:r>
            <w:r w:rsidR="006D5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78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Papildus zīmes (etiķetes)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Izstrādājuma kopšanas zīme, izstrādājuma sastāva zīme.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Iesaiņojums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Katrs no izstrādājumiem vienā iepakojumā</w:t>
            </w:r>
            <w:r w:rsidR="00586A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Vismaz 2</w:t>
            </w:r>
            <w:r w:rsidR="006D5777">
              <w:rPr>
                <w:rFonts w:ascii="Times New Roman" w:hAnsi="Times New Roman" w:cs="Times New Roman"/>
              </w:rPr>
              <w:t>4 mēneši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4D38FC" w:rsidRPr="00A56A02" w:rsidTr="006D5777">
        <w:trPr>
          <w:trHeight w:val="78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Lietošanas un kopšanas instrukcija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8FC" w:rsidRPr="001B35A9" w:rsidRDefault="00586AFD" w:rsidP="004D38F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Instrukcija ir d</w:t>
            </w:r>
            <w:r w:rsidR="004D38FC" w:rsidRPr="001B35A9">
              <w:rPr>
                <w:rFonts w:ascii="Times New Roman" w:hAnsi="Times New Roman" w:cs="Times New Roman"/>
              </w:rPr>
              <w:t>etalizēta latviešu valodā par pielietošanu un nepieciešamo kopšanu</w:t>
            </w:r>
            <w:r w:rsidR="006D5777">
              <w:rPr>
                <w:rFonts w:ascii="Times New Roman" w:hAnsi="Times New Roman" w:cs="Times New Roman"/>
              </w:rPr>
              <w:t>. Instrukcija pievienota katras atsevišķas preces iepakojumā.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FC" w:rsidRPr="00A56A02" w:rsidTr="006D5777">
        <w:trPr>
          <w:trHeight w:val="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Informatīvais</w:t>
            </w:r>
            <w:r w:rsidRPr="001B35A9">
              <w:rPr>
                <w:rFonts w:ascii="Times New Roman" w:hAnsi="Times New Roman" w:cs="Times New Roman"/>
              </w:rPr>
              <w:t xml:space="preserve"> attēls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5804BF9" wp14:editId="75EF4BB2">
                  <wp:extent cx="1228725" cy="1639084"/>
                  <wp:effectExtent l="0" t="0" r="0" b="0"/>
                  <wp:docPr id="852133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405" cy="165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D38FC" w:rsidRPr="00A56A02" w:rsidTr="006D5777">
        <w:trPr>
          <w:trHeight w:val="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8FC" w:rsidRPr="003E11B8" w:rsidRDefault="004D38FC" w:rsidP="004D3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3E11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Piegādes termiņš</w:t>
            </w:r>
          </w:p>
        </w:tc>
        <w:tc>
          <w:tcPr>
            <w:tcW w:w="2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8FC" w:rsidRPr="001B35A9" w:rsidRDefault="004D38FC" w:rsidP="004D38FC">
            <w:pPr>
              <w:spacing w:after="0"/>
              <w:rPr>
                <w:rFonts w:ascii="Times New Roman" w:hAnsi="Times New Roman" w:cs="Times New Roman"/>
              </w:rPr>
            </w:pPr>
            <w:r w:rsidRPr="001B35A9">
              <w:rPr>
                <w:rFonts w:ascii="Times New Roman" w:hAnsi="Times New Roman" w:cs="Times New Roman"/>
              </w:rPr>
              <w:t>ne vairāk kā 120 dienas</w:t>
            </w:r>
            <w:r w:rsidR="006D5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8FC" w:rsidRPr="003E11B8" w:rsidRDefault="004D38FC" w:rsidP="004D3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:rsidR="005D10C6" w:rsidRDefault="005D10C6" w:rsidP="0062770E">
      <w:pPr>
        <w:spacing w:before="1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sectPr w:rsidR="005D10C6" w:rsidSect="00B52391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52391" w:rsidRDefault="00B52391" w:rsidP="0062770E">
      <w:pPr>
        <w:spacing w:before="1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:rsidR="0062770E" w:rsidRPr="002B1EA2" w:rsidRDefault="003E11B8" w:rsidP="0062770E">
      <w:pPr>
        <w:spacing w:before="1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FINANŠU PIEDĀVĀJUMS</w:t>
      </w:r>
    </w:p>
    <w:p w:rsidR="0062770E" w:rsidRPr="002B1EA2" w:rsidRDefault="0062770E" w:rsidP="0062770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2770E" w:rsidRPr="002B1EA2" w:rsidRDefault="0062770E" w:rsidP="003E11B8">
      <w:pPr>
        <w:ind w:right="9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1EA2">
        <w:rPr>
          <w:rFonts w:ascii="Times New Roman" w:eastAsia="Calibri" w:hAnsi="Times New Roman" w:cs="Times New Roman"/>
          <w:color w:val="000000"/>
          <w:sz w:val="24"/>
          <w:szCs w:val="24"/>
        </w:rPr>
        <w:t>Finanšu piedāvājuma cenā ietilpst visas ar tehniskajā specifikācijā noteikto prasību izpildi saistītās izmaksas, kā arī visas ar to netieši saistītās izmaksas (personāla izmaksas, piegādes, transporta pakalpojumi u.c.).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635"/>
        <w:gridCol w:w="1891"/>
        <w:gridCol w:w="2257"/>
      </w:tblGrid>
      <w:tr w:rsidR="0062770E" w:rsidRPr="002B1EA2" w:rsidTr="006D5777">
        <w:trPr>
          <w:trHeight w:val="645"/>
        </w:trPr>
        <w:tc>
          <w:tcPr>
            <w:tcW w:w="439" w:type="pct"/>
            <w:shd w:val="clear" w:color="auto" w:fill="C5E0B3" w:themeFill="accent6" w:themeFillTint="66"/>
            <w:vAlign w:val="center"/>
          </w:tcPr>
          <w:p w:rsidR="0062770E" w:rsidRPr="002B1EA2" w:rsidRDefault="0062770E" w:rsidP="008E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B1EA2">
              <w:rPr>
                <w:rFonts w:ascii="Times New Roman" w:eastAsia="Times New Roman" w:hAnsi="Times New Roman" w:cs="Times New Roman"/>
                <w:b/>
                <w:lang w:eastAsia="lv-LV"/>
              </w:rPr>
              <w:t>Nr.</w:t>
            </w:r>
          </w:p>
          <w:p w:rsidR="0062770E" w:rsidRPr="002B1EA2" w:rsidRDefault="0062770E" w:rsidP="008E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B1EA2">
              <w:rPr>
                <w:rFonts w:ascii="Times New Roman" w:eastAsia="Times New Roman" w:hAnsi="Times New Roman" w:cs="Times New Roman"/>
                <w:b/>
                <w:lang w:eastAsia="lv-LV"/>
              </w:rPr>
              <w:t>p.k.</w:t>
            </w:r>
          </w:p>
        </w:tc>
        <w:tc>
          <w:tcPr>
            <w:tcW w:w="2407" w:type="pct"/>
            <w:shd w:val="clear" w:color="auto" w:fill="C5E0B3" w:themeFill="accent6" w:themeFillTint="66"/>
            <w:vAlign w:val="center"/>
          </w:tcPr>
          <w:p w:rsidR="0062770E" w:rsidRPr="002B1EA2" w:rsidRDefault="0062770E" w:rsidP="008E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B1EA2">
              <w:rPr>
                <w:rFonts w:ascii="Times New Roman" w:eastAsia="Times New Roman" w:hAnsi="Times New Roman" w:cs="Times New Roman"/>
                <w:b/>
                <w:lang w:eastAsia="lv-LV"/>
              </w:rPr>
              <w:t>Prece</w:t>
            </w:r>
          </w:p>
        </w:tc>
        <w:tc>
          <w:tcPr>
            <w:tcW w:w="981" w:type="pct"/>
            <w:shd w:val="clear" w:color="auto" w:fill="C5E0B3" w:themeFill="accent6" w:themeFillTint="66"/>
            <w:vAlign w:val="center"/>
          </w:tcPr>
          <w:p w:rsidR="0062770E" w:rsidRPr="002B1EA2" w:rsidRDefault="0062770E" w:rsidP="008E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B1EA2">
              <w:rPr>
                <w:rFonts w:ascii="Times New Roman" w:eastAsia="Times New Roman" w:hAnsi="Times New Roman" w:cs="Times New Roman"/>
                <w:b/>
                <w:lang w:eastAsia="lv-LV"/>
              </w:rPr>
              <w:t>Mērvienība</w:t>
            </w:r>
          </w:p>
        </w:tc>
        <w:tc>
          <w:tcPr>
            <w:tcW w:w="1172" w:type="pct"/>
            <w:shd w:val="clear" w:color="auto" w:fill="C5E0B3" w:themeFill="accent6" w:themeFillTint="66"/>
            <w:vAlign w:val="center"/>
          </w:tcPr>
          <w:p w:rsidR="0062770E" w:rsidRPr="002B1EA2" w:rsidRDefault="0062770E" w:rsidP="008E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2B1EA2">
              <w:rPr>
                <w:rFonts w:ascii="Times New Roman" w:eastAsia="Times New Roman" w:hAnsi="Times New Roman" w:cs="Times New Roman"/>
                <w:b/>
                <w:lang w:eastAsia="lv-LV"/>
              </w:rPr>
              <w:t>Cena EUR bez PVN</w:t>
            </w:r>
          </w:p>
        </w:tc>
      </w:tr>
      <w:tr w:rsidR="0062770E" w:rsidRPr="002B1EA2" w:rsidTr="0062770E">
        <w:trPr>
          <w:trHeight w:val="352"/>
        </w:trPr>
        <w:tc>
          <w:tcPr>
            <w:tcW w:w="439" w:type="pct"/>
            <w:shd w:val="clear" w:color="auto" w:fill="auto"/>
            <w:vAlign w:val="center"/>
          </w:tcPr>
          <w:p w:rsidR="0062770E" w:rsidRPr="002B1EA2" w:rsidRDefault="0062770E" w:rsidP="008E50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x-none" w:eastAsia="lv-LV"/>
              </w:rPr>
            </w:pPr>
          </w:p>
        </w:tc>
        <w:tc>
          <w:tcPr>
            <w:tcW w:w="2407" w:type="pct"/>
            <w:shd w:val="clear" w:color="auto" w:fill="auto"/>
          </w:tcPr>
          <w:p w:rsidR="0062770E" w:rsidRPr="002B1EA2" w:rsidRDefault="0062770E" w:rsidP="008E50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:rsidR="0062770E" w:rsidRPr="002B1EA2" w:rsidRDefault="0062770E" w:rsidP="008E50C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B1EA2">
              <w:rPr>
                <w:rFonts w:ascii="Times New Roman" w:eastAsia="Times New Roman" w:hAnsi="Times New Roman" w:cs="Times New Roman"/>
                <w:lang w:eastAsia="lv-LV"/>
              </w:rPr>
              <w:t xml:space="preserve">1 </w:t>
            </w:r>
            <w:bookmarkStart w:id="0" w:name="_GoBack"/>
            <w:bookmarkEnd w:id="0"/>
            <w:r w:rsidRPr="002B1EA2">
              <w:rPr>
                <w:rFonts w:ascii="Times New Roman" w:eastAsia="Times New Roman" w:hAnsi="Times New Roman" w:cs="Times New Roman"/>
                <w:lang w:eastAsia="lv-LV"/>
              </w:rPr>
              <w:t>gab.</w:t>
            </w:r>
          </w:p>
        </w:tc>
        <w:tc>
          <w:tcPr>
            <w:tcW w:w="1172" w:type="pct"/>
            <w:shd w:val="clear" w:color="auto" w:fill="auto"/>
          </w:tcPr>
          <w:p w:rsidR="0062770E" w:rsidRPr="002B1EA2" w:rsidRDefault="0062770E" w:rsidP="008E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2770E" w:rsidRPr="002B1EA2" w:rsidTr="008E50CC">
        <w:trPr>
          <w:trHeight w:val="352"/>
        </w:trPr>
        <w:tc>
          <w:tcPr>
            <w:tcW w:w="3828" w:type="pct"/>
            <w:gridSpan w:val="3"/>
            <w:shd w:val="clear" w:color="auto" w:fill="auto"/>
          </w:tcPr>
          <w:p w:rsidR="0062770E" w:rsidRPr="00B52391" w:rsidRDefault="0062770E" w:rsidP="008E50CC">
            <w:pPr>
              <w:tabs>
                <w:tab w:val="left" w:pos="27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B52391">
              <w:rPr>
                <w:rFonts w:ascii="Times New Roman" w:eastAsia="Times New Roman" w:hAnsi="Times New Roman" w:cs="Times New Roman"/>
                <w:b/>
                <w:lang w:eastAsia="lv-LV"/>
              </w:rPr>
              <w:t>Piedāvājuma summa kopā EUR bez PVN</w:t>
            </w:r>
          </w:p>
        </w:tc>
        <w:tc>
          <w:tcPr>
            <w:tcW w:w="1172" w:type="pct"/>
            <w:shd w:val="clear" w:color="auto" w:fill="auto"/>
          </w:tcPr>
          <w:p w:rsidR="0062770E" w:rsidRPr="002B1EA2" w:rsidRDefault="0062770E" w:rsidP="008E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2770E" w:rsidRPr="002B1EA2" w:rsidTr="008E50CC">
        <w:trPr>
          <w:trHeight w:val="352"/>
        </w:trPr>
        <w:tc>
          <w:tcPr>
            <w:tcW w:w="3828" w:type="pct"/>
            <w:gridSpan w:val="3"/>
            <w:shd w:val="clear" w:color="auto" w:fill="auto"/>
          </w:tcPr>
          <w:p w:rsidR="0062770E" w:rsidRPr="00B52391" w:rsidRDefault="0062770E" w:rsidP="008E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52391">
              <w:rPr>
                <w:rFonts w:ascii="Times New Roman" w:eastAsia="Calibri" w:hAnsi="Times New Roman" w:cs="Times New Roman"/>
                <w:b/>
                <w:lang w:eastAsia="lv-LV"/>
              </w:rPr>
              <w:t>PVN _____%</w:t>
            </w:r>
          </w:p>
        </w:tc>
        <w:tc>
          <w:tcPr>
            <w:tcW w:w="1172" w:type="pct"/>
            <w:shd w:val="clear" w:color="auto" w:fill="auto"/>
          </w:tcPr>
          <w:p w:rsidR="0062770E" w:rsidRPr="002B1EA2" w:rsidRDefault="0062770E" w:rsidP="008E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2770E" w:rsidRPr="002B1EA2" w:rsidTr="008E50CC">
        <w:trPr>
          <w:trHeight w:val="352"/>
        </w:trPr>
        <w:tc>
          <w:tcPr>
            <w:tcW w:w="3828" w:type="pct"/>
            <w:gridSpan w:val="3"/>
            <w:shd w:val="clear" w:color="auto" w:fill="auto"/>
          </w:tcPr>
          <w:p w:rsidR="0062770E" w:rsidRPr="00B52391" w:rsidRDefault="0062770E" w:rsidP="008E5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52391">
              <w:rPr>
                <w:rFonts w:ascii="Times New Roman" w:eastAsia="Calibri" w:hAnsi="Times New Roman" w:cs="Times New Roman"/>
                <w:b/>
                <w:lang w:eastAsia="lv-LV"/>
              </w:rPr>
              <w:t>Piedāvājuma summa kopā EUR ar PVN</w:t>
            </w:r>
          </w:p>
        </w:tc>
        <w:tc>
          <w:tcPr>
            <w:tcW w:w="1172" w:type="pct"/>
            <w:shd w:val="clear" w:color="auto" w:fill="auto"/>
          </w:tcPr>
          <w:p w:rsidR="0062770E" w:rsidRPr="002B1EA2" w:rsidRDefault="0062770E" w:rsidP="008E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:rsidR="00B52391" w:rsidRDefault="00B52391" w:rsidP="00B5239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11B8" w:rsidRPr="00E71F25" w:rsidRDefault="003E11B8" w:rsidP="003E11B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:rsidR="003E11B8" w:rsidRPr="00B97D29" w:rsidRDefault="003E11B8" w:rsidP="003E11B8">
      <w:pPr>
        <w:spacing w:after="0"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:rsidR="003E11B8" w:rsidRPr="00272FBC" w:rsidRDefault="003E11B8" w:rsidP="003E11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Jautājumu vai neskaidrību gadījumā zvanīt pa tālruni. +371 28493663</w:t>
      </w:r>
    </w:p>
    <w:p w:rsidR="00B52391" w:rsidRDefault="00B52391" w:rsidP="003E11B8">
      <w:pPr>
        <w:jc w:val="both"/>
      </w:pPr>
    </w:p>
    <w:sectPr w:rsidR="00B52391" w:rsidSect="00B5239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C1A" w:rsidRDefault="00725C1A" w:rsidP="00B52391">
      <w:pPr>
        <w:spacing w:after="0" w:line="240" w:lineRule="auto"/>
      </w:pPr>
      <w:r>
        <w:separator/>
      </w:r>
    </w:p>
  </w:endnote>
  <w:endnote w:type="continuationSeparator" w:id="0">
    <w:p w:rsidR="00725C1A" w:rsidRDefault="00725C1A" w:rsidP="00B5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C1A" w:rsidRDefault="00725C1A" w:rsidP="00B52391">
      <w:pPr>
        <w:spacing w:after="0" w:line="240" w:lineRule="auto"/>
      </w:pPr>
      <w:r>
        <w:separator/>
      </w:r>
    </w:p>
  </w:footnote>
  <w:footnote w:type="continuationSeparator" w:id="0">
    <w:p w:rsidR="00725C1A" w:rsidRDefault="00725C1A" w:rsidP="00B5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0321375"/>
      <w:docPartObj>
        <w:docPartGallery w:val="Page Numbers (Top of Page)"/>
        <w:docPartUnique/>
      </w:docPartObj>
    </w:sdtPr>
    <w:sdtEndPr/>
    <w:sdtContent>
      <w:p w:rsidR="00B52391" w:rsidRDefault="00B5239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0C6">
          <w:rPr>
            <w:noProof/>
          </w:rPr>
          <w:t>3</w:t>
        </w:r>
        <w:r>
          <w:fldChar w:fldCharType="end"/>
        </w:r>
      </w:p>
    </w:sdtContent>
  </w:sdt>
  <w:p w:rsidR="00B52391" w:rsidRDefault="00B52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61BFB"/>
    <w:multiLevelType w:val="hybridMultilevel"/>
    <w:tmpl w:val="0BE843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02"/>
    <w:rsid w:val="000B203A"/>
    <w:rsid w:val="001B35A9"/>
    <w:rsid w:val="002B699C"/>
    <w:rsid w:val="003621FB"/>
    <w:rsid w:val="003E11B8"/>
    <w:rsid w:val="004D38FC"/>
    <w:rsid w:val="00586AFD"/>
    <w:rsid w:val="005D10C6"/>
    <w:rsid w:val="0062770E"/>
    <w:rsid w:val="006D2E87"/>
    <w:rsid w:val="006D5777"/>
    <w:rsid w:val="00725C1A"/>
    <w:rsid w:val="00853BAE"/>
    <w:rsid w:val="009F4BF5"/>
    <w:rsid w:val="00A56A02"/>
    <w:rsid w:val="00AD35C7"/>
    <w:rsid w:val="00B52391"/>
    <w:rsid w:val="00C035F0"/>
    <w:rsid w:val="00C213DF"/>
    <w:rsid w:val="00D50C0A"/>
    <w:rsid w:val="00E21600"/>
    <w:rsid w:val="00F25F4E"/>
    <w:rsid w:val="00F4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2D9F"/>
  <w15:chartTrackingRefBased/>
  <w15:docId w15:val="{0CD9EA44-6471-4D41-AB02-41799224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91"/>
  </w:style>
  <w:style w:type="paragraph" w:styleId="Footer">
    <w:name w:val="footer"/>
    <w:basedOn w:val="Normal"/>
    <w:link w:val="FooterChar"/>
    <w:uiPriority w:val="99"/>
    <w:unhideWhenUsed/>
    <w:rsid w:val="00B52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91"/>
  </w:style>
  <w:style w:type="character" w:styleId="Hyperlink">
    <w:name w:val="Hyperlink"/>
    <w:basedOn w:val="DefaultParagraphFont"/>
    <w:uiPriority w:val="99"/>
    <w:unhideWhenUsed/>
    <w:rsid w:val="003E1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 IC Zemgale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Politika</dc:creator>
  <cp:keywords/>
  <dc:description/>
  <cp:lastModifiedBy>Līga Kigitoviča</cp:lastModifiedBy>
  <cp:revision>5</cp:revision>
  <dcterms:created xsi:type="dcterms:W3CDTF">2026-03-24T11:15:00Z</dcterms:created>
  <dcterms:modified xsi:type="dcterms:W3CDTF">2026-03-24T12:57:00Z</dcterms:modified>
</cp:coreProperties>
</file>