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67598" w14:textId="77777777" w:rsidR="007C3267" w:rsidRPr="007C3267" w:rsidRDefault="007C3267" w:rsidP="007C3267">
      <w:pPr>
        <w:rPr>
          <w:lang w:val="lv-LV"/>
        </w:rPr>
      </w:pPr>
    </w:p>
    <w:p w14:paraId="200A13F9" w14:textId="6E2F815A" w:rsidR="007C3267" w:rsidRPr="007C3267" w:rsidRDefault="007C3267" w:rsidP="007C3267">
      <w:pPr>
        <w:jc w:val="center"/>
        <w:rPr>
          <w:lang w:val="lv-LV"/>
        </w:rPr>
      </w:pPr>
      <w:r w:rsidRPr="007C3267">
        <w:rPr>
          <w:b/>
          <w:bCs/>
          <w:lang w:val="lv-LV"/>
        </w:rPr>
        <w:t>Latvijas Būvinženieru savienības Tehniskā komisija (LBS TK)</w:t>
      </w:r>
    </w:p>
    <w:p w14:paraId="3DAD036F" w14:textId="2EC887C2" w:rsidR="007C3267" w:rsidRPr="007C3267" w:rsidRDefault="00E30D07" w:rsidP="007C3267">
      <w:pPr>
        <w:jc w:val="center"/>
        <w:rPr>
          <w:lang w:val="lv-LV"/>
        </w:rPr>
      </w:pPr>
      <w:r>
        <w:rPr>
          <w:b/>
          <w:bCs/>
          <w:lang w:val="lv-LV"/>
        </w:rPr>
        <w:t>s</w:t>
      </w:r>
      <w:r w:rsidR="007C3267" w:rsidRPr="007C3267">
        <w:rPr>
          <w:b/>
          <w:bCs/>
          <w:lang w:val="lv-LV"/>
        </w:rPr>
        <w:t>kaidrojumi par LBN atsevišķu ugunsdrošības prasību pielietošanu būvniecības praksē</w:t>
      </w:r>
      <w:r>
        <w:rPr>
          <w:b/>
          <w:bCs/>
          <w:lang w:val="lv-LV"/>
        </w:rPr>
        <w:t>.</w:t>
      </w:r>
    </w:p>
    <w:p w14:paraId="2C1A168F" w14:textId="0C8E0128" w:rsidR="001E0FCC" w:rsidRDefault="007C3267" w:rsidP="007C3267">
      <w:pPr>
        <w:jc w:val="center"/>
        <w:rPr>
          <w:b/>
          <w:bCs/>
          <w:lang w:val="lv-LV"/>
        </w:rPr>
      </w:pPr>
      <w:r w:rsidRPr="007C3267">
        <w:rPr>
          <w:b/>
          <w:bCs/>
          <w:lang w:val="lv-LV"/>
        </w:rPr>
        <w:t>Apspriesti LBS TK sēdē 1</w:t>
      </w:r>
      <w:r w:rsidR="007773F0">
        <w:rPr>
          <w:b/>
          <w:bCs/>
          <w:lang w:val="lv-LV"/>
        </w:rPr>
        <w:t>8</w:t>
      </w:r>
      <w:r w:rsidRPr="007C3267">
        <w:rPr>
          <w:b/>
          <w:bCs/>
          <w:lang w:val="lv-LV"/>
        </w:rPr>
        <w:t>.0</w:t>
      </w:r>
      <w:r w:rsidR="007773F0">
        <w:rPr>
          <w:b/>
          <w:bCs/>
          <w:lang w:val="lv-LV"/>
        </w:rPr>
        <w:t>2</w:t>
      </w:r>
      <w:r w:rsidRPr="007C3267">
        <w:rPr>
          <w:b/>
          <w:bCs/>
          <w:lang w:val="lv-LV"/>
        </w:rPr>
        <w:t>.202</w:t>
      </w:r>
      <w:r w:rsidR="007773F0">
        <w:rPr>
          <w:b/>
          <w:bCs/>
          <w:lang w:val="lv-LV"/>
        </w:rPr>
        <w:t>6</w:t>
      </w:r>
      <w:r w:rsidRPr="007C3267">
        <w:rPr>
          <w:b/>
          <w:bCs/>
          <w:lang w:val="lv-LV"/>
        </w:rPr>
        <w:t>.</w:t>
      </w:r>
    </w:p>
    <w:p w14:paraId="3AF72579" w14:textId="77777777" w:rsidR="007C3267" w:rsidRDefault="007C3267" w:rsidP="007C3267">
      <w:pPr>
        <w:pStyle w:val="NoSpacing"/>
      </w:pPr>
    </w:p>
    <w:tbl>
      <w:tblPr>
        <w:tblStyle w:val="TableGrid"/>
        <w:tblW w:w="0" w:type="auto"/>
        <w:tblLook w:val="04A0" w:firstRow="1" w:lastRow="0" w:firstColumn="1" w:lastColumn="0" w:noHBand="0" w:noVBand="1"/>
      </w:tblPr>
      <w:tblGrid>
        <w:gridCol w:w="9628"/>
      </w:tblGrid>
      <w:tr w:rsidR="007C3267" w:rsidRPr="000B00A0" w14:paraId="49415175" w14:textId="77777777" w:rsidTr="007C3267">
        <w:tc>
          <w:tcPr>
            <w:tcW w:w="9628" w:type="dxa"/>
          </w:tcPr>
          <w:p w14:paraId="6D6BA849" w14:textId="31D28CB0" w:rsidR="007C3267" w:rsidRPr="00D30296" w:rsidRDefault="006F2FF9" w:rsidP="000B00A0">
            <w:pPr>
              <w:pStyle w:val="NoSpacing"/>
              <w:jc w:val="both"/>
              <w:rPr>
                <w:b/>
                <w:bCs/>
                <w:szCs w:val="24"/>
              </w:rPr>
            </w:pPr>
            <w:r>
              <w:rPr>
                <w:b/>
                <w:bCs/>
                <w:szCs w:val="24"/>
              </w:rPr>
              <w:t>L</w:t>
            </w:r>
            <w:r w:rsidRPr="006F2FF9">
              <w:rPr>
                <w:b/>
                <w:bCs/>
                <w:szCs w:val="24"/>
              </w:rPr>
              <w:t>atvijas būvnormatīva LBN 201-15 “Būvju ugunsdrošība”</w:t>
            </w:r>
            <w:r>
              <w:rPr>
                <w:b/>
                <w:bCs/>
                <w:szCs w:val="24"/>
              </w:rPr>
              <w:t xml:space="preserve"> (turpmāk – LBN 201-15)</w:t>
            </w:r>
            <w:r w:rsidR="007C3267" w:rsidRPr="007C3267">
              <w:rPr>
                <w:b/>
                <w:bCs/>
                <w:szCs w:val="24"/>
              </w:rPr>
              <w:t xml:space="preserve"> </w:t>
            </w:r>
            <w:r w:rsidR="00D8214B" w:rsidRPr="00D30296">
              <w:rPr>
                <w:b/>
                <w:bCs/>
                <w:szCs w:val="24"/>
              </w:rPr>
              <w:t xml:space="preserve"> </w:t>
            </w:r>
            <w:r w:rsidR="007C3267" w:rsidRPr="007C3267">
              <w:rPr>
                <w:b/>
                <w:bCs/>
                <w:szCs w:val="24"/>
              </w:rPr>
              <w:t>1</w:t>
            </w:r>
            <w:r w:rsidR="00B11B06">
              <w:rPr>
                <w:b/>
                <w:bCs/>
                <w:szCs w:val="24"/>
              </w:rPr>
              <w:t>1</w:t>
            </w:r>
            <w:r w:rsidR="00D8214B" w:rsidRPr="00D30296">
              <w:rPr>
                <w:b/>
                <w:bCs/>
                <w:szCs w:val="24"/>
              </w:rPr>
              <w:t>2</w:t>
            </w:r>
            <w:r w:rsidR="007C3267" w:rsidRPr="007C3267">
              <w:rPr>
                <w:b/>
                <w:bCs/>
                <w:szCs w:val="24"/>
              </w:rPr>
              <w:t xml:space="preserve">.punkta </w:t>
            </w:r>
            <w:r w:rsidR="00D8214B" w:rsidRPr="00D30296">
              <w:rPr>
                <w:b/>
                <w:bCs/>
                <w:szCs w:val="24"/>
              </w:rPr>
              <w:t>un 2.4</w:t>
            </w:r>
            <w:r>
              <w:rPr>
                <w:b/>
                <w:bCs/>
                <w:szCs w:val="24"/>
              </w:rPr>
              <w:t>.apakšpunkta</w:t>
            </w:r>
            <w:r w:rsidR="004D3F95">
              <w:rPr>
                <w:b/>
                <w:bCs/>
                <w:szCs w:val="24"/>
              </w:rPr>
              <w:t xml:space="preserve"> </w:t>
            </w:r>
            <w:r>
              <w:rPr>
                <w:b/>
                <w:bCs/>
                <w:szCs w:val="24"/>
              </w:rPr>
              <w:t>(</w:t>
            </w:r>
            <w:r w:rsidR="00D8214B" w:rsidRPr="00D30296">
              <w:rPr>
                <w:b/>
                <w:bCs/>
                <w:szCs w:val="24"/>
              </w:rPr>
              <w:t>definīcijas</w:t>
            </w:r>
            <w:r>
              <w:rPr>
                <w:b/>
                <w:bCs/>
                <w:szCs w:val="24"/>
              </w:rPr>
              <w:t>)</w:t>
            </w:r>
            <w:r w:rsidR="00D8214B" w:rsidRPr="00D30296">
              <w:rPr>
                <w:b/>
                <w:bCs/>
                <w:szCs w:val="24"/>
              </w:rPr>
              <w:t xml:space="preserve"> </w:t>
            </w:r>
            <w:r w:rsidR="007C3267" w:rsidRPr="007C3267">
              <w:rPr>
                <w:b/>
                <w:bCs/>
                <w:szCs w:val="24"/>
              </w:rPr>
              <w:t>skaidrojums</w:t>
            </w:r>
          </w:p>
          <w:p w14:paraId="7A83B908" w14:textId="77777777" w:rsidR="007773F0" w:rsidRDefault="007773F0" w:rsidP="004D3F95">
            <w:pPr>
              <w:pStyle w:val="Footer"/>
              <w:tabs>
                <w:tab w:val="clear" w:pos="8640"/>
              </w:tabs>
              <w:jc w:val="both"/>
              <w:rPr>
                <w:rFonts w:ascii="Times New Roman" w:hAnsi="Times New Roman"/>
                <w:i/>
                <w:iCs/>
                <w:sz w:val="24"/>
                <w:szCs w:val="24"/>
                <w:lang w:val="lv-LV"/>
              </w:rPr>
            </w:pPr>
          </w:p>
          <w:p w14:paraId="62CEF5A1" w14:textId="60BAD4D4" w:rsidR="00D8214B" w:rsidRPr="00D30296" w:rsidRDefault="00D8214B" w:rsidP="004D3F95">
            <w:pPr>
              <w:pStyle w:val="Footer"/>
              <w:tabs>
                <w:tab w:val="clear" w:pos="8640"/>
              </w:tabs>
              <w:jc w:val="both"/>
              <w:rPr>
                <w:rFonts w:ascii="Times New Roman" w:hAnsi="Times New Roman"/>
                <w:sz w:val="24"/>
                <w:szCs w:val="24"/>
                <w:lang w:val="lv-LV"/>
              </w:rPr>
            </w:pPr>
            <w:r w:rsidRPr="001B0F32">
              <w:rPr>
                <w:rFonts w:ascii="Times New Roman" w:hAnsi="Times New Roman"/>
                <w:i/>
                <w:iCs/>
                <w:sz w:val="24"/>
                <w:szCs w:val="24"/>
                <w:lang w:val="lv-LV"/>
              </w:rPr>
              <w:t>Atverama aila</w:t>
            </w:r>
            <w:r w:rsidRPr="00D30296">
              <w:rPr>
                <w:rFonts w:ascii="Times New Roman" w:hAnsi="Times New Roman"/>
                <w:sz w:val="24"/>
                <w:szCs w:val="24"/>
                <w:lang w:val="lv-LV"/>
              </w:rPr>
              <w:t xml:space="preserve"> ir atverams logs, durvis, vārti vai lūka būves ārējā norobežojošajā konstrukcijā, kas ir sasniedzama ar ugunsdzēsības un glābšanas dienesta </w:t>
            </w:r>
            <w:r w:rsidRPr="00D30296">
              <w:rPr>
                <w:rFonts w:ascii="Times New Roman" w:hAnsi="Times New Roman"/>
                <w:sz w:val="24"/>
                <w:szCs w:val="24"/>
                <w:u w:val="single"/>
                <w:lang w:val="lv-LV"/>
              </w:rPr>
              <w:t>tehniskajiem līdzekļiem un ko var izmantot glābšanas darbos</w:t>
            </w:r>
            <w:r w:rsidRPr="00D30296">
              <w:rPr>
                <w:rFonts w:ascii="Times New Roman" w:hAnsi="Times New Roman"/>
                <w:sz w:val="24"/>
                <w:szCs w:val="24"/>
                <w:lang w:val="lv-LV"/>
              </w:rPr>
              <w:t xml:space="preserve"> (LBN 201-15 2.4.apakšpunkts).</w:t>
            </w:r>
          </w:p>
          <w:p w14:paraId="2AB6571A" w14:textId="330E805D" w:rsidR="00D8214B" w:rsidRPr="00D30296" w:rsidRDefault="005A27A4" w:rsidP="004D3F95">
            <w:pPr>
              <w:pStyle w:val="Footer"/>
              <w:tabs>
                <w:tab w:val="clear" w:pos="8640"/>
              </w:tabs>
              <w:jc w:val="both"/>
              <w:rPr>
                <w:rFonts w:ascii="Times New Roman" w:hAnsi="Times New Roman"/>
                <w:sz w:val="24"/>
                <w:szCs w:val="24"/>
                <w:lang w:val="lv-LV"/>
              </w:rPr>
            </w:pPr>
            <w:r>
              <w:rPr>
                <w:rFonts w:ascii="Times New Roman" w:hAnsi="Times New Roman"/>
                <w:sz w:val="24"/>
                <w:szCs w:val="24"/>
                <w:lang w:val="lv-LV"/>
              </w:rPr>
              <w:t>T</w:t>
            </w:r>
            <w:r w:rsidR="00D8214B" w:rsidRPr="00D30296">
              <w:rPr>
                <w:rFonts w:ascii="Times New Roman" w:hAnsi="Times New Roman"/>
                <w:sz w:val="24"/>
                <w:szCs w:val="24"/>
                <w:lang w:val="lv-LV"/>
              </w:rPr>
              <w:t>ehniskie līdzekļi LBN 201-15 2.4.apakšpunkta izpratnē ir ugunsdzēsības tehnika un jebkurš aprīkojums, ar kuru ugunsdzēsības tehnika ir nodrošināta, kā arī jebkura ierīce un iekārta, kas ir ugunsdzēsības un glābšanas dienestu rīcībā un var tikt izmantota glābšanas darb</w:t>
            </w:r>
            <w:r w:rsidR="00351F4B">
              <w:rPr>
                <w:rFonts w:ascii="Times New Roman" w:hAnsi="Times New Roman"/>
                <w:sz w:val="24"/>
                <w:szCs w:val="24"/>
                <w:lang w:val="lv-LV"/>
              </w:rPr>
              <w:t>o</w:t>
            </w:r>
            <w:r w:rsidR="00D8214B" w:rsidRPr="00D30296">
              <w:rPr>
                <w:rFonts w:ascii="Times New Roman" w:hAnsi="Times New Roman"/>
                <w:sz w:val="24"/>
                <w:szCs w:val="24"/>
                <w:lang w:val="lv-LV"/>
              </w:rPr>
              <w:t>s.</w:t>
            </w:r>
          </w:p>
          <w:p w14:paraId="55EC6BDE" w14:textId="245509F9" w:rsidR="00D8214B" w:rsidRPr="00D30296" w:rsidRDefault="00DA1FED" w:rsidP="000B00A0">
            <w:pPr>
              <w:pStyle w:val="NoSpacing"/>
              <w:jc w:val="both"/>
              <w:rPr>
                <w:szCs w:val="24"/>
              </w:rPr>
            </w:pPr>
            <w:r w:rsidRPr="00D30296">
              <w:rPr>
                <w:szCs w:val="24"/>
              </w:rPr>
              <w:t>Veicot glābšanas darbus, VUGD var izmantot dažādus tehniskos līdzekļus, piemēram, autokāpnes, autopacēlāju, trīsposmu izbīdāmās kāpnes u.c. līdzekļus. Lēmumu par konkrēto glābšanas paņēmienu un tajā iesaistītajiem tehniskajiem līdzekļiem pieņem ugunsgrēka dzēšanas un glābšanas darbu vadītājs, novērtējot konkrētā notikuma apstākļus.</w:t>
            </w:r>
          </w:p>
          <w:p w14:paraId="0D71CEBA" w14:textId="4DDCECDA" w:rsidR="00DD0A9D" w:rsidRDefault="00DA1FED" w:rsidP="000B00A0">
            <w:pPr>
              <w:pStyle w:val="NoSpacing"/>
              <w:jc w:val="both"/>
              <w:rPr>
                <w:szCs w:val="24"/>
              </w:rPr>
            </w:pPr>
            <w:r w:rsidRPr="00D30296">
              <w:rPr>
                <w:szCs w:val="24"/>
              </w:rPr>
              <w:t>Ņemot vērā VUGD rīcībā esošo trīsposmu izbīdāmo kāpņu tehniskos parametrus</w:t>
            </w:r>
            <w:r w:rsidR="00351F4B">
              <w:rPr>
                <w:szCs w:val="24"/>
              </w:rPr>
              <w:t xml:space="preserve"> (garums </w:t>
            </w:r>
            <w:r w:rsidR="00391458">
              <w:rPr>
                <w:szCs w:val="24"/>
              </w:rPr>
              <w:t>izbīdītā stāvoklī 10,7 m)</w:t>
            </w:r>
            <w:r w:rsidRPr="00D30296">
              <w:rPr>
                <w:szCs w:val="24"/>
              </w:rPr>
              <w:t>, kā arī līdzšinējo VUGD praksi glābšanas darb</w:t>
            </w:r>
            <w:r w:rsidR="006F2FF9">
              <w:rPr>
                <w:szCs w:val="24"/>
              </w:rPr>
              <w:t>o</w:t>
            </w:r>
            <w:r w:rsidRPr="00D30296">
              <w:rPr>
                <w:szCs w:val="24"/>
              </w:rPr>
              <w:t>s</w:t>
            </w:r>
            <w:r w:rsidR="00F72BC8">
              <w:rPr>
                <w:szCs w:val="24"/>
              </w:rPr>
              <w:t xml:space="preserve"> telpās</w:t>
            </w:r>
            <w:r w:rsidRPr="00D30296">
              <w:rPr>
                <w:szCs w:val="24"/>
              </w:rPr>
              <w:t xml:space="preserve">, kurās </w:t>
            </w:r>
            <w:r w:rsidR="003A051A">
              <w:rPr>
                <w:szCs w:val="24"/>
              </w:rPr>
              <w:t>attālums</w:t>
            </w:r>
            <w:r w:rsidR="00391458">
              <w:rPr>
                <w:szCs w:val="24"/>
              </w:rPr>
              <w:t xml:space="preserve"> no zemes līmeņa līdz atveramas ailas apakšējai malai nepārsniedz 9</w:t>
            </w:r>
            <w:r w:rsidR="006F2FF9">
              <w:rPr>
                <w:szCs w:val="24"/>
              </w:rPr>
              <w:t>,</w:t>
            </w:r>
            <w:r w:rsidR="00391458">
              <w:rPr>
                <w:szCs w:val="24"/>
              </w:rPr>
              <w:t xml:space="preserve">2 m, </w:t>
            </w:r>
            <w:r w:rsidRPr="00D30296">
              <w:rPr>
                <w:szCs w:val="24"/>
              </w:rPr>
              <w:t>ir iespējams veikt glābšanas darbus, izmantojot un iesaistot ne tikai autokāpnes vai autopacēlāju, bet arī trīsposmu izbīdamās kāpnes. Līdz ar to arī trīsposmu izbīdāmās kāpnes ir uzskatāmas par tehnisko līdzekli LBN 201-15 2.4.apakšpunkta izpratnē.</w:t>
            </w:r>
            <w:r w:rsidR="005A27A4">
              <w:rPr>
                <w:szCs w:val="24"/>
              </w:rPr>
              <w:t xml:space="preserve"> </w:t>
            </w:r>
          </w:p>
          <w:p w14:paraId="62B3C196" w14:textId="1547F077" w:rsidR="00DD0A9D" w:rsidRDefault="005A27A4" w:rsidP="000B00A0">
            <w:pPr>
              <w:pStyle w:val="NoSpacing"/>
              <w:jc w:val="both"/>
              <w:rPr>
                <w:szCs w:val="24"/>
              </w:rPr>
            </w:pPr>
            <w:r>
              <w:rPr>
                <w:szCs w:val="24"/>
              </w:rPr>
              <w:t xml:space="preserve">Gadījumā, ja glābšanas darbiem </w:t>
            </w:r>
            <w:r w:rsidR="00CC4736">
              <w:rPr>
                <w:szCs w:val="24"/>
              </w:rPr>
              <w:t xml:space="preserve">ir iespējams </w:t>
            </w:r>
            <w:r>
              <w:rPr>
                <w:szCs w:val="24"/>
              </w:rPr>
              <w:t>izmanto</w:t>
            </w:r>
            <w:r w:rsidR="00CC4736">
              <w:rPr>
                <w:szCs w:val="24"/>
              </w:rPr>
              <w:t>t</w:t>
            </w:r>
            <w:r>
              <w:rPr>
                <w:szCs w:val="24"/>
              </w:rPr>
              <w:t xml:space="preserve"> </w:t>
            </w:r>
            <w:r w:rsidRPr="00D30296">
              <w:rPr>
                <w:szCs w:val="24"/>
              </w:rPr>
              <w:t>trīsposmu izbīdām</w:t>
            </w:r>
            <w:r>
              <w:rPr>
                <w:szCs w:val="24"/>
              </w:rPr>
              <w:t>ās</w:t>
            </w:r>
            <w:r w:rsidRPr="00D30296">
              <w:rPr>
                <w:szCs w:val="24"/>
              </w:rPr>
              <w:t xml:space="preserve"> </w:t>
            </w:r>
            <w:r w:rsidR="00DD0A9D" w:rsidRPr="00D30296">
              <w:rPr>
                <w:szCs w:val="24"/>
              </w:rPr>
              <w:t>kāpn</w:t>
            </w:r>
            <w:r w:rsidR="00DD0A9D">
              <w:rPr>
                <w:szCs w:val="24"/>
              </w:rPr>
              <w:t>es</w:t>
            </w:r>
            <w:r>
              <w:rPr>
                <w:szCs w:val="24"/>
              </w:rPr>
              <w:t xml:space="preserve">, </w:t>
            </w:r>
            <w:r w:rsidR="00DD0A9D" w:rsidRPr="00D30296">
              <w:rPr>
                <w:szCs w:val="24"/>
              </w:rPr>
              <w:t xml:space="preserve">ugunsdzēsības </w:t>
            </w:r>
            <w:r w:rsidR="00DD0A9D" w:rsidRPr="00DD0A9D">
              <w:rPr>
                <w:szCs w:val="24"/>
              </w:rPr>
              <w:t>tehnikai paredzēto piebrauktuv</w:t>
            </w:r>
            <w:r w:rsidR="00DD0A9D">
              <w:rPr>
                <w:szCs w:val="24"/>
              </w:rPr>
              <w:t>ju ierīkošana nav nepieciešama.</w:t>
            </w:r>
          </w:p>
          <w:p w14:paraId="068839E9" w14:textId="1025E3FE" w:rsidR="00D8214B" w:rsidRDefault="003A051A" w:rsidP="000B00A0">
            <w:pPr>
              <w:pStyle w:val="NoSpacing"/>
              <w:jc w:val="both"/>
              <w:rPr>
                <w:szCs w:val="24"/>
              </w:rPr>
            </w:pPr>
            <w:r>
              <w:rPr>
                <w:szCs w:val="24"/>
              </w:rPr>
              <w:t>Ja attālums no zemes līmeņa līdz atveramas ailas apakšējai malai pārsniedz 9</w:t>
            </w:r>
            <w:r w:rsidR="006F2FF9">
              <w:rPr>
                <w:szCs w:val="24"/>
              </w:rPr>
              <w:t>,</w:t>
            </w:r>
            <w:r>
              <w:rPr>
                <w:szCs w:val="24"/>
              </w:rPr>
              <w:t>2 m</w:t>
            </w:r>
            <w:r w:rsidR="00DA1FED" w:rsidRPr="00D30296">
              <w:rPr>
                <w:szCs w:val="24"/>
              </w:rPr>
              <w:t xml:space="preserve">, </w:t>
            </w:r>
            <w:proofErr w:type="spellStart"/>
            <w:r w:rsidRPr="00D30296">
              <w:rPr>
                <w:szCs w:val="24"/>
              </w:rPr>
              <w:t>trīsposmu</w:t>
            </w:r>
            <w:proofErr w:type="spellEnd"/>
            <w:r w:rsidRPr="00D30296">
              <w:rPr>
                <w:szCs w:val="24"/>
              </w:rPr>
              <w:t xml:space="preserve"> izbīdām</w:t>
            </w:r>
            <w:r>
              <w:rPr>
                <w:szCs w:val="24"/>
              </w:rPr>
              <w:t>ās</w:t>
            </w:r>
            <w:r w:rsidRPr="00D30296">
              <w:rPr>
                <w:szCs w:val="24"/>
              </w:rPr>
              <w:t xml:space="preserve"> kāpn</w:t>
            </w:r>
            <w:r>
              <w:rPr>
                <w:szCs w:val="24"/>
              </w:rPr>
              <w:t>es</w:t>
            </w:r>
            <w:r w:rsidRPr="00D30296">
              <w:rPr>
                <w:szCs w:val="24"/>
              </w:rPr>
              <w:t xml:space="preserve"> </w:t>
            </w:r>
            <w:r w:rsidR="00DA1FED" w:rsidRPr="00D30296">
              <w:rPr>
                <w:szCs w:val="24"/>
              </w:rPr>
              <w:t xml:space="preserve">nav izmantojamas glābšanas darbos. Glābšanas darbi </w:t>
            </w:r>
            <w:r w:rsidR="009236E0">
              <w:rPr>
                <w:szCs w:val="24"/>
              </w:rPr>
              <w:t xml:space="preserve">šādās </w:t>
            </w:r>
            <w:r w:rsidR="00DA1FED" w:rsidRPr="00D30296">
              <w:rPr>
                <w:szCs w:val="24"/>
              </w:rPr>
              <w:t xml:space="preserve">būvēs </w:t>
            </w:r>
            <w:r w:rsidR="00CC4736">
              <w:rPr>
                <w:szCs w:val="24"/>
              </w:rPr>
              <w:t xml:space="preserve">un telpās </w:t>
            </w:r>
            <w:r w:rsidR="00DA1FED" w:rsidRPr="00D30296">
              <w:rPr>
                <w:szCs w:val="24"/>
              </w:rPr>
              <w:t>ir īstenojami, izmantojot citus tehniskos līdzekļus, piemēram, autokāpnes vai autopacēlāju. Līdz ar to</w:t>
            </w:r>
            <w:r w:rsidR="005A1983">
              <w:rPr>
                <w:szCs w:val="24"/>
              </w:rPr>
              <w:t xml:space="preserve"> šādām telpām</w:t>
            </w:r>
            <w:r w:rsidR="009236E0">
              <w:rPr>
                <w:szCs w:val="24"/>
              </w:rPr>
              <w:t>,</w:t>
            </w:r>
            <w:r w:rsidR="00DA1FED" w:rsidRPr="00D30296">
              <w:rPr>
                <w:szCs w:val="24"/>
              </w:rPr>
              <w:t xml:space="preserve"> </w:t>
            </w:r>
            <w:r w:rsidR="009236E0" w:rsidRPr="00D30296">
              <w:rPr>
                <w:szCs w:val="24"/>
              </w:rPr>
              <w:t xml:space="preserve">kurās </w:t>
            </w:r>
            <w:r w:rsidR="00DA1FED" w:rsidRPr="00D30296">
              <w:rPr>
                <w:szCs w:val="24"/>
              </w:rPr>
              <w:t>atbilstoši LBN 201-15 112.punkta</w:t>
            </w:r>
            <w:r w:rsidR="009236E0">
              <w:rPr>
                <w:szCs w:val="24"/>
              </w:rPr>
              <w:t xml:space="preserve"> prasībām</w:t>
            </w:r>
            <w:r w:rsidR="00DA1FED" w:rsidRPr="00D30296">
              <w:rPr>
                <w:szCs w:val="24"/>
              </w:rPr>
              <w:t xml:space="preserve">, jāparedz </w:t>
            </w:r>
            <w:r w:rsidR="00DA1FED" w:rsidRPr="001B0F32">
              <w:rPr>
                <w:i/>
                <w:iCs/>
                <w:szCs w:val="24"/>
              </w:rPr>
              <w:t>atverama aila</w:t>
            </w:r>
            <w:r w:rsidR="005A1983">
              <w:rPr>
                <w:i/>
                <w:iCs/>
                <w:szCs w:val="24"/>
              </w:rPr>
              <w:t xml:space="preserve">, </w:t>
            </w:r>
            <w:r w:rsidR="005A1983" w:rsidRPr="00467A69">
              <w:rPr>
                <w:szCs w:val="24"/>
              </w:rPr>
              <w:t>jāparedz</w:t>
            </w:r>
            <w:r w:rsidR="005A1983">
              <w:rPr>
                <w:i/>
                <w:iCs/>
                <w:szCs w:val="24"/>
              </w:rPr>
              <w:t xml:space="preserve"> </w:t>
            </w:r>
            <w:r w:rsidR="00DA1FED" w:rsidRPr="00D30296">
              <w:rPr>
                <w:szCs w:val="24"/>
              </w:rPr>
              <w:t>arī ugunsdzēsības piebrauktuve, kas nodrošina ugunsdzēsības tehnikas piebraukšanu un novietošanu pie konkrētās būves. Šādā gadījumā ugunsdzēsības piebrauktuvi būvei paredz atbilstoši LBN 201-15 3.2.apakšnodaļas prasībām.</w:t>
            </w:r>
          </w:p>
          <w:p w14:paraId="3F861176" w14:textId="21D84082" w:rsidR="005A27A4" w:rsidRPr="00D30296" w:rsidRDefault="005A27A4" w:rsidP="000B00A0">
            <w:pPr>
              <w:pStyle w:val="NoSpacing"/>
              <w:jc w:val="both"/>
              <w:rPr>
                <w:szCs w:val="24"/>
              </w:rPr>
            </w:pPr>
            <w:r>
              <w:rPr>
                <w:szCs w:val="24"/>
              </w:rPr>
              <w:t xml:space="preserve">Prasības </w:t>
            </w:r>
            <w:r w:rsidRPr="001B0F32">
              <w:rPr>
                <w:i/>
                <w:iCs/>
                <w:szCs w:val="24"/>
              </w:rPr>
              <w:t>atveramas ailas</w:t>
            </w:r>
            <w:r>
              <w:rPr>
                <w:szCs w:val="24"/>
              </w:rPr>
              <w:t xml:space="preserve"> gabarītiem norādītas </w:t>
            </w:r>
            <w:r w:rsidRPr="00D30296">
              <w:rPr>
                <w:szCs w:val="24"/>
              </w:rPr>
              <w:t>LBN 201-15</w:t>
            </w:r>
            <w:r>
              <w:rPr>
                <w:szCs w:val="24"/>
              </w:rPr>
              <w:t xml:space="preserve"> 44. un 45.punktā.</w:t>
            </w:r>
          </w:p>
          <w:p w14:paraId="3906E66C" w14:textId="6D238045" w:rsidR="00D30296" w:rsidRDefault="00D30296" w:rsidP="000B00A0">
            <w:pPr>
              <w:pStyle w:val="NoSpacing"/>
              <w:jc w:val="both"/>
              <w:rPr>
                <w:szCs w:val="24"/>
              </w:rPr>
            </w:pPr>
            <w:r w:rsidRPr="00D30296">
              <w:rPr>
                <w:szCs w:val="24"/>
              </w:rPr>
              <w:t xml:space="preserve">Gadījumā, kad </w:t>
            </w:r>
            <w:r w:rsidRPr="001B0F32">
              <w:rPr>
                <w:i/>
                <w:iCs/>
                <w:szCs w:val="24"/>
              </w:rPr>
              <w:t>atveramu ailu</w:t>
            </w:r>
            <w:r w:rsidRPr="00D30296">
              <w:rPr>
                <w:szCs w:val="24"/>
              </w:rPr>
              <w:t xml:space="preserve"> </w:t>
            </w:r>
            <w:r w:rsidR="001B0F32">
              <w:rPr>
                <w:szCs w:val="24"/>
              </w:rPr>
              <w:t xml:space="preserve">atbilstoši </w:t>
            </w:r>
            <w:r w:rsidRPr="00D30296">
              <w:rPr>
                <w:szCs w:val="24"/>
              </w:rPr>
              <w:t>LBN 201-15 noteiktajām prasībām nav iespējams paredzēt, paredz būvei citus ugunsdrošības risinājumus, piemēram, otru evakuācijas izeju no stāva, evakuāciju caur dūmaizsargātu kāpņu telpu un atbilstošu evakuācijas ceļa garumu vai citus pasākumus.</w:t>
            </w:r>
          </w:p>
          <w:p w14:paraId="770656EA" w14:textId="332244F6" w:rsidR="005A27A4" w:rsidRPr="00D30296" w:rsidRDefault="005A27A4" w:rsidP="000B00A0">
            <w:pPr>
              <w:pStyle w:val="NoSpacing"/>
              <w:jc w:val="both"/>
              <w:rPr>
                <w:szCs w:val="24"/>
              </w:rPr>
            </w:pPr>
          </w:p>
        </w:tc>
      </w:tr>
      <w:tr w:rsidR="007C3267" w:rsidRPr="000B00A0" w14:paraId="2523E4DD" w14:textId="77777777" w:rsidTr="007C3267">
        <w:tc>
          <w:tcPr>
            <w:tcW w:w="9628" w:type="dxa"/>
          </w:tcPr>
          <w:p w14:paraId="3F54E57C" w14:textId="18A83F8C" w:rsidR="00D30296" w:rsidRPr="009236E0" w:rsidRDefault="00D30296" w:rsidP="000B00A0">
            <w:pPr>
              <w:pStyle w:val="NoSpacing"/>
              <w:jc w:val="both"/>
              <w:rPr>
                <w:b/>
                <w:bCs/>
                <w:szCs w:val="24"/>
              </w:rPr>
            </w:pPr>
            <w:r w:rsidRPr="007C3267">
              <w:rPr>
                <w:b/>
                <w:bCs/>
                <w:szCs w:val="24"/>
              </w:rPr>
              <w:t xml:space="preserve">LBN 201-15 </w:t>
            </w:r>
            <w:r w:rsidRPr="009236E0">
              <w:rPr>
                <w:b/>
                <w:bCs/>
                <w:szCs w:val="24"/>
              </w:rPr>
              <w:t xml:space="preserve">62.12.apakšpunkta </w:t>
            </w:r>
            <w:r w:rsidRPr="007C3267">
              <w:rPr>
                <w:b/>
                <w:bCs/>
                <w:szCs w:val="24"/>
              </w:rPr>
              <w:t>skaidrojums</w:t>
            </w:r>
          </w:p>
          <w:p w14:paraId="003A899D" w14:textId="77777777" w:rsidR="007773F0" w:rsidRDefault="007773F0" w:rsidP="000B00A0">
            <w:pPr>
              <w:pStyle w:val="NoSpacing"/>
              <w:jc w:val="both"/>
            </w:pPr>
          </w:p>
          <w:p w14:paraId="1762480F" w14:textId="099AA126" w:rsidR="007C3267" w:rsidRDefault="009236E0" w:rsidP="000B00A0">
            <w:pPr>
              <w:pStyle w:val="NoSpacing"/>
              <w:jc w:val="both"/>
            </w:pPr>
            <w:r w:rsidRPr="009236E0">
              <w:t xml:space="preserve">Atbilstoši LBN 201-15 62.12.apakšpunkta prasībām, </w:t>
            </w:r>
            <w:r w:rsidR="009975A0">
              <w:t>“</w:t>
            </w:r>
            <w:r w:rsidRPr="001B0F32">
              <w:rPr>
                <w:i/>
                <w:iCs/>
              </w:rPr>
              <w:t>kā atsevišķas ugunsdroši atdalītas telpas veido sociālās aprūpes centru un pansionātu telpas, kas paredzētas pacientu izmitināšanai</w:t>
            </w:r>
            <w:r w:rsidR="009975A0">
              <w:t>”</w:t>
            </w:r>
            <w:r w:rsidRPr="009236E0">
              <w:t>.</w:t>
            </w:r>
          </w:p>
          <w:p w14:paraId="2F709304" w14:textId="66D268E8" w:rsidR="009975A0" w:rsidRDefault="009975A0" w:rsidP="000B00A0">
            <w:pPr>
              <w:pStyle w:val="NoSpacing"/>
              <w:jc w:val="both"/>
            </w:pPr>
            <w:r w:rsidRPr="009975A0">
              <w:t xml:space="preserve">Tas nozīmē, ka </w:t>
            </w:r>
            <w:r>
              <w:t>telp</w:t>
            </w:r>
            <w:r w:rsidR="00AB62F4">
              <w:t>a</w:t>
            </w:r>
            <w:r w:rsidR="00222B7B">
              <w:t>s</w:t>
            </w:r>
            <w:r>
              <w:t>, k</w:t>
            </w:r>
            <w:r w:rsidR="00AB62F4">
              <w:t>as</w:t>
            </w:r>
            <w:r>
              <w:t xml:space="preserve"> paredzēta</w:t>
            </w:r>
            <w:r w:rsidR="00222B7B">
              <w:t>s</w:t>
            </w:r>
            <w:r>
              <w:t xml:space="preserve"> </w:t>
            </w:r>
            <w:r w:rsidRPr="009236E0">
              <w:t>sociālās aprūpes centr</w:t>
            </w:r>
            <w:r>
              <w:t>a</w:t>
            </w:r>
            <w:r w:rsidRPr="009236E0">
              <w:t xml:space="preserve"> un</w:t>
            </w:r>
            <w:r>
              <w:t xml:space="preserve">/vai </w:t>
            </w:r>
            <w:r w:rsidRPr="009236E0">
              <w:t>pansionāt</w:t>
            </w:r>
            <w:r>
              <w:t>a</w:t>
            </w:r>
            <w:r w:rsidRPr="009236E0">
              <w:t xml:space="preserve"> pacientu izmitināšanai</w:t>
            </w:r>
            <w:r w:rsidR="00055595">
              <w:t xml:space="preserve">, jāparedz kā </w:t>
            </w:r>
            <w:r w:rsidR="00055595" w:rsidRPr="009236E0">
              <w:t>ugunsdroši atdalīta</w:t>
            </w:r>
            <w:r w:rsidR="00222B7B">
              <w:t>s</w:t>
            </w:r>
            <w:r w:rsidR="00055595" w:rsidRPr="009236E0">
              <w:t xml:space="preserve"> telpa</w:t>
            </w:r>
            <w:r w:rsidR="00222B7B">
              <w:t>s</w:t>
            </w:r>
            <w:r w:rsidR="00055595">
              <w:t>, kas atdalīta</w:t>
            </w:r>
            <w:r w:rsidR="00222B7B">
              <w:t>s</w:t>
            </w:r>
            <w:r w:rsidR="00055595">
              <w:t xml:space="preserve"> no citām telpām ar </w:t>
            </w:r>
            <w:r w:rsidR="00055595" w:rsidRPr="009975A0">
              <w:t xml:space="preserve">ugunsdrošām </w:t>
            </w:r>
            <w:r w:rsidR="00055595">
              <w:t>būv</w:t>
            </w:r>
            <w:r w:rsidR="00055595" w:rsidRPr="009975A0">
              <w:t>konstrukcijām</w:t>
            </w:r>
            <w:r w:rsidR="00055595">
              <w:t xml:space="preserve">. Pieļaujams neatdalīt ar </w:t>
            </w:r>
            <w:r w:rsidR="00055595" w:rsidRPr="009975A0">
              <w:t xml:space="preserve">ugunsdrošām </w:t>
            </w:r>
            <w:r w:rsidR="00055595">
              <w:t>būv</w:t>
            </w:r>
            <w:r w:rsidR="00055595" w:rsidRPr="009975A0">
              <w:t>konstrukcijām</w:t>
            </w:r>
            <w:r w:rsidR="00055595">
              <w:t xml:space="preserve"> f</w:t>
            </w:r>
            <w:r w:rsidR="00055595" w:rsidRPr="009975A0">
              <w:t>unkcionāli saistītas telpas, piemēram, tualete</w:t>
            </w:r>
            <w:r w:rsidR="001B0F32">
              <w:t xml:space="preserve">s istabu </w:t>
            </w:r>
            <w:r w:rsidR="00055595" w:rsidRPr="009975A0">
              <w:t>un vannas istab</w:t>
            </w:r>
            <w:r w:rsidR="001B0F32">
              <w:t xml:space="preserve">u. </w:t>
            </w:r>
            <w:r w:rsidR="00AB62F4">
              <w:t xml:space="preserve">Pieļaujams, </w:t>
            </w:r>
            <w:r w:rsidR="001B0F32">
              <w:t xml:space="preserve">ka telpu grupā, kas </w:t>
            </w:r>
            <w:r w:rsidR="001B0F32" w:rsidRPr="009975A0">
              <w:t>atdalīta ar</w:t>
            </w:r>
            <w:r w:rsidR="001B0F32" w:rsidRPr="00DE6D0E">
              <w:t xml:space="preserve"> </w:t>
            </w:r>
            <w:r w:rsidR="001B0F32" w:rsidRPr="009975A0">
              <w:t>ugunsdrošām konstrukcijām, drīkst atrasties ne vairāk kā pieci pacienti</w:t>
            </w:r>
            <w:r w:rsidR="001B0F32">
              <w:t>.</w:t>
            </w:r>
          </w:p>
          <w:p w14:paraId="69DED87B" w14:textId="60BDFDA3" w:rsidR="00E30D07" w:rsidRPr="009236E0" w:rsidRDefault="00E30D07" w:rsidP="000B00A0">
            <w:pPr>
              <w:pStyle w:val="NoSpacing"/>
              <w:jc w:val="both"/>
            </w:pPr>
          </w:p>
        </w:tc>
      </w:tr>
      <w:tr w:rsidR="005E4B14" w:rsidRPr="000B00A0" w14:paraId="1D1D50AE" w14:textId="77777777" w:rsidTr="007C3267">
        <w:tc>
          <w:tcPr>
            <w:tcW w:w="9628" w:type="dxa"/>
          </w:tcPr>
          <w:p w14:paraId="6BBF1274" w14:textId="7E605A91" w:rsidR="005E4B14" w:rsidRPr="005E4B14" w:rsidRDefault="005E4B14" w:rsidP="004D3F95">
            <w:pPr>
              <w:jc w:val="both"/>
              <w:rPr>
                <w:rFonts w:cs="Times New Roman"/>
                <w:b/>
                <w:bCs/>
                <w:szCs w:val="24"/>
                <w:lang w:val="lv-LV"/>
              </w:rPr>
            </w:pPr>
            <w:r w:rsidRPr="005E4B14">
              <w:rPr>
                <w:rFonts w:cs="Times New Roman"/>
                <w:b/>
                <w:bCs/>
                <w:szCs w:val="24"/>
                <w:lang w:val="lv-LV"/>
              </w:rPr>
              <w:t xml:space="preserve">LBN 201-15 </w:t>
            </w:r>
            <w:r w:rsidR="005478F8">
              <w:rPr>
                <w:rFonts w:cs="Times New Roman"/>
                <w:b/>
                <w:bCs/>
                <w:szCs w:val="24"/>
                <w:lang w:val="lv-LV"/>
              </w:rPr>
              <w:t xml:space="preserve">pielikuma 5.tabulas </w:t>
            </w:r>
            <w:r w:rsidRPr="005E4B14">
              <w:rPr>
                <w:rFonts w:cs="Times New Roman"/>
                <w:b/>
                <w:bCs/>
                <w:szCs w:val="24"/>
                <w:lang w:val="lv-LV"/>
              </w:rPr>
              <w:t>prasību skaidrojums par prasībām ārējai apdarei</w:t>
            </w:r>
            <w:r w:rsidR="006934D8">
              <w:rPr>
                <w:rFonts w:cs="Times New Roman"/>
                <w:b/>
                <w:bCs/>
                <w:szCs w:val="24"/>
                <w:lang w:val="lv-LV"/>
              </w:rPr>
              <w:t xml:space="preserve"> (</w:t>
            </w:r>
            <w:r w:rsidR="006934D8" w:rsidRPr="006934D8">
              <w:rPr>
                <w:rFonts w:cs="Times New Roman"/>
                <w:b/>
                <w:bCs/>
                <w:szCs w:val="24"/>
                <w:lang w:val="lv-LV"/>
              </w:rPr>
              <w:t>ņemot vērā izmaiņas LBN 210-15 redakcijā, kas stājās spēkā 01.01.2026.</w:t>
            </w:r>
            <w:r w:rsidR="006934D8">
              <w:rPr>
                <w:rFonts w:cs="Times New Roman"/>
                <w:b/>
                <w:bCs/>
                <w:szCs w:val="24"/>
                <w:lang w:val="lv-LV"/>
              </w:rPr>
              <w:t>)</w:t>
            </w:r>
            <w:r w:rsidRPr="005E4B14">
              <w:rPr>
                <w:rFonts w:cs="Times New Roman"/>
                <w:b/>
                <w:bCs/>
                <w:szCs w:val="24"/>
                <w:lang w:val="lv-LV"/>
              </w:rPr>
              <w:t>:</w:t>
            </w:r>
          </w:p>
          <w:p w14:paraId="1C33D26C" w14:textId="77777777" w:rsidR="005E4B14" w:rsidRPr="005E4B14" w:rsidRDefault="005E4B14">
            <w:pPr>
              <w:pStyle w:val="ListParagraph"/>
              <w:numPr>
                <w:ilvl w:val="1"/>
                <w:numId w:val="1"/>
              </w:numPr>
              <w:jc w:val="both"/>
              <w:rPr>
                <w:rFonts w:cs="Times New Roman"/>
                <w:b/>
                <w:bCs/>
                <w:szCs w:val="24"/>
                <w:lang w:val="lv-LV"/>
              </w:rPr>
            </w:pPr>
            <w:r w:rsidRPr="005E4B14">
              <w:rPr>
                <w:rFonts w:cs="Times New Roman"/>
                <w:b/>
                <w:bCs/>
                <w:szCs w:val="24"/>
                <w:lang w:val="lv-LV"/>
              </w:rPr>
              <w:t xml:space="preserve">ugunsdrošām sienam, </w:t>
            </w:r>
          </w:p>
          <w:p w14:paraId="0B1C2A77" w14:textId="77777777" w:rsidR="005E4B14" w:rsidRPr="005E4B14" w:rsidRDefault="005E4B14">
            <w:pPr>
              <w:pStyle w:val="ListParagraph"/>
              <w:numPr>
                <w:ilvl w:val="1"/>
                <w:numId w:val="1"/>
              </w:numPr>
              <w:jc w:val="both"/>
              <w:rPr>
                <w:rFonts w:cs="Times New Roman"/>
                <w:b/>
                <w:bCs/>
                <w:szCs w:val="24"/>
                <w:lang w:val="lv-LV"/>
              </w:rPr>
            </w:pPr>
            <w:r w:rsidRPr="005E4B14">
              <w:rPr>
                <w:rFonts w:cs="Times New Roman"/>
                <w:b/>
                <w:bCs/>
                <w:szCs w:val="24"/>
                <w:lang w:val="lv-LV"/>
              </w:rPr>
              <w:lastRenderedPageBreak/>
              <w:t>ugunsdrošības nodalījuma norobežojošām konstrukcijām;</w:t>
            </w:r>
          </w:p>
          <w:p w14:paraId="5295D7AB" w14:textId="7EB06E53" w:rsidR="005E4B14" w:rsidRPr="005E4B14" w:rsidRDefault="005E4B14">
            <w:pPr>
              <w:pStyle w:val="ListParagraph"/>
              <w:numPr>
                <w:ilvl w:val="1"/>
                <w:numId w:val="1"/>
              </w:numPr>
              <w:jc w:val="both"/>
              <w:rPr>
                <w:rFonts w:cs="Times New Roman"/>
                <w:b/>
                <w:bCs/>
                <w:szCs w:val="24"/>
                <w:lang w:val="lv-LV"/>
              </w:rPr>
            </w:pPr>
            <w:r w:rsidRPr="005E4B14">
              <w:rPr>
                <w:rFonts w:cs="Times New Roman"/>
                <w:b/>
                <w:bCs/>
                <w:szCs w:val="24"/>
                <w:lang w:val="lv-LV"/>
              </w:rPr>
              <w:t>uguns norobežotājam (kuru ierīko atbilstoši LBN 201-15 73.p</w:t>
            </w:r>
            <w:r w:rsidR="006934D8">
              <w:rPr>
                <w:rFonts w:cs="Times New Roman"/>
                <w:b/>
                <w:bCs/>
                <w:szCs w:val="24"/>
                <w:lang w:val="lv-LV"/>
              </w:rPr>
              <w:t>unkta</w:t>
            </w:r>
            <w:r w:rsidRPr="005E4B14">
              <w:rPr>
                <w:rFonts w:cs="Times New Roman"/>
                <w:b/>
                <w:bCs/>
                <w:szCs w:val="24"/>
                <w:lang w:val="lv-LV"/>
              </w:rPr>
              <w:t xml:space="preserve"> prasībām)</w:t>
            </w:r>
            <w:r w:rsidR="006934D8">
              <w:rPr>
                <w:rFonts w:cs="Times New Roman"/>
                <w:b/>
                <w:bCs/>
                <w:szCs w:val="24"/>
                <w:lang w:val="lv-LV"/>
              </w:rPr>
              <w:t>.</w:t>
            </w:r>
          </w:p>
          <w:p w14:paraId="597F9D0D" w14:textId="60A426E2" w:rsidR="005E4B14" w:rsidRPr="005E4B14" w:rsidRDefault="005E4B14" w:rsidP="000B00A0">
            <w:pPr>
              <w:pStyle w:val="ListParagraph"/>
              <w:jc w:val="both"/>
              <w:rPr>
                <w:rFonts w:cs="Times New Roman"/>
                <w:b/>
                <w:bCs/>
                <w:szCs w:val="24"/>
                <w:lang w:val="lv-LV"/>
              </w:rPr>
            </w:pPr>
          </w:p>
          <w:p w14:paraId="46F6EA95" w14:textId="7E5E53E7" w:rsidR="005E4B14" w:rsidRPr="005E4B14" w:rsidRDefault="005E4B14" w:rsidP="000B00A0">
            <w:pPr>
              <w:pStyle w:val="NoSpacing"/>
              <w:numPr>
                <w:ilvl w:val="0"/>
                <w:numId w:val="2"/>
              </w:numPr>
              <w:jc w:val="both"/>
              <w:rPr>
                <w:szCs w:val="24"/>
              </w:rPr>
            </w:pPr>
            <w:r w:rsidRPr="005E4B14">
              <w:rPr>
                <w:szCs w:val="24"/>
              </w:rPr>
              <w:t>Atbilstoši LBN 201-15 pielikuma 5.tabulas 8.piezīmes prasībām, “</w:t>
            </w:r>
            <w:r w:rsidRPr="00532589">
              <w:rPr>
                <w:i/>
                <w:iCs/>
                <w:szCs w:val="24"/>
              </w:rPr>
              <w:t>Ugunsdrošām sienām un ugunsdrošības nodalījuma norobežojošam būvkonstrukcijām ārsienu siltumizolācijas sistēmām un būvizstrādājumiem ugunsreakcijas klase nav zemāka par A2-s2, d0.</w:t>
            </w:r>
            <w:r w:rsidR="00532589">
              <w:rPr>
                <w:szCs w:val="24"/>
              </w:rPr>
              <w:t>” Tas nozīm</w:t>
            </w:r>
            <w:r w:rsidR="004D3F95">
              <w:rPr>
                <w:szCs w:val="24"/>
              </w:rPr>
              <w:t>ē</w:t>
            </w:r>
            <w:r w:rsidR="00532589">
              <w:rPr>
                <w:szCs w:val="24"/>
              </w:rPr>
              <w:t xml:space="preserve">, ka gan siltumizolācijas būvizstrādājumu, gan ārējās apdares būvizstrādājumu </w:t>
            </w:r>
            <w:r w:rsidR="00532589" w:rsidRPr="005E4B14">
              <w:rPr>
                <w:szCs w:val="24"/>
              </w:rPr>
              <w:t>ugunsreakcijas klase nav zemāka par A2-s2, d0.</w:t>
            </w:r>
          </w:p>
          <w:p w14:paraId="49D97CA9" w14:textId="03C5C187" w:rsidR="005E4B14" w:rsidRPr="00437AC9" w:rsidRDefault="00532589" w:rsidP="000B00A0">
            <w:pPr>
              <w:pStyle w:val="NoSpacing"/>
              <w:numPr>
                <w:ilvl w:val="0"/>
                <w:numId w:val="2"/>
              </w:numPr>
              <w:jc w:val="both"/>
              <w:rPr>
                <w:szCs w:val="24"/>
              </w:rPr>
            </w:pPr>
            <w:r>
              <w:rPr>
                <w:szCs w:val="24"/>
              </w:rPr>
              <w:t xml:space="preserve">Atbilstoši </w:t>
            </w:r>
            <w:r w:rsidR="00437AC9">
              <w:rPr>
                <w:szCs w:val="24"/>
              </w:rPr>
              <w:t>LBN 201-15 2.31</w:t>
            </w:r>
            <w:r w:rsidR="004D3F95">
              <w:rPr>
                <w:szCs w:val="24"/>
              </w:rPr>
              <w:t>.apakšpunktam</w:t>
            </w:r>
            <w:r w:rsidR="00437AC9">
              <w:rPr>
                <w:szCs w:val="24"/>
              </w:rPr>
              <w:t xml:space="preserve"> “</w:t>
            </w:r>
            <w:r w:rsidR="00437AC9" w:rsidRPr="00437AC9">
              <w:rPr>
                <w:i/>
                <w:iCs/>
                <w:szCs w:val="24"/>
              </w:rPr>
              <w:t>ugunsdrošības nodalījums – būves daļa, kas atdalīta no pārējām būves daļām ar ugunsdrošām konstrukcijām tā, lai uguns un dūmu izplatība uz šo būves daļu un no tās noteiktā laikposmā tiktu aizkavēta un saglabāta ne</w:t>
            </w:r>
            <w:r w:rsidR="00437AC9">
              <w:rPr>
                <w:i/>
                <w:iCs/>
                <w:szCs w:val="24"/>
              </w:rPr>
              <w:t>s</w:t>
            </w:r>
            <w:r w:rsidR="00437AC9" w:rsidRPr="00437AC9">
              <w:rPr>
                <w:i/>
                <w:iCs/>
                <w:szCs w:val="24"/>
              </w:rPr>
              <w:t>tspēja</w:t>
            </w:r>
            <w:r w:rsidR="00437AC9" w:rsidRPr="00DE6D0E">
              <w:rPr>
                <w:szCs w:val="24"/>
              </w:rPr>
              <w:t>”.</w:t>
            </w:r>
          </w:p>
          <w:p w14:paraId="63C5F5C6" w14:textId="4E943A55" w:rsidR="00437AC9" w:rsidRPr="00437AC9" w:rsidRDefault="00437AC9" w:rsidP="000B00A0">
            <w:pPr>
              <w:pStyle w:val="NoSpacing"/>
              <w:numPr>
                <w:ilvl w:val="0"/>
                <w:numId w:val="2"/>
              </w:numPr>
              <w:jc w:val="both"/>
              <w:rPr>
                <w:szCs w:val="24"/>
              </w:rPr>
            </w:pPr>
            <w:r>
              <w:rPr>
                <w:szCs w:val="24"/>
              </w:rPr>
              <w:t>Atbilstoši LBN 201-15 2.34</w:t>
            </w:r>
            <w:r w:rsidR="004D3F95">
              <w:rPr>
                <w:szCs w:val="24"/>
              </w:rPr>
              <w:t>.apakšpunktam</w:t>
            </w:r>
            <w:r>
              <w:rPr>
                <w:szCs w:val="24"/>
              </w:rPr>
              <w:t xml:space="preserve"> “</w:t>
            </w:r>
            <w:r w:rsidRPr="00437AC9">
              <w:rPr>
                <w:i/>
                <w:iCs/>
                <w:szCs w:val="24"/>
              </w:rPr>
              <w:t>uguns norobežotāji – būvkonstrukcijas uguns izplatības novēršanai, kas veidotas no būvizstrādājumiem, kuru ugunsreakcijas klase nav mazāka par A2-s1, d0</w:t>
            </w:r>
            <w:r w:rsidRPr="00DE6D0E">
              <w:rPr>
                <w:szCs w:val="24"/>
              </w:rPr>
              <w:t>”.</w:t>
            </w:r>
          </w:p>
          <w:p w14:paraId="3846FF43" w14:textId="3B086BD6" w:rsidR="00437AC9" w:rsidRPr="005478F8" w:rsidRDefault="00437AC9" w:rsidP="000B00A0">
            <w:pPr>
              <w:pStyle w:val="NoSpacing"/>
              <w:numPr>
                <w:ilvl w:val="0"/>
                <w:numId w:val="2"/>
              </w:numPr>
              <w:jc w:val="both"/>
              <w:rPr>
                <w:szCs w:val="24"/>
              </w:rPr>
            </w:pPr>
            <w:r>
              <w:rPr>
                <w:szCs w:val="24"/>
              </w:rPr>
              <w:t xml:space="preserve">Uguns norobežotājus paredz LBN 201-15 noteiktajos gadījumos, lai </w:t>
            </w:r>
            <w:r w:rsidR="001304BB">
              <w:rPr>
                <w:szCs w:val="24"/>
              </w:rPr>
              <w:t xml:space="preserve">aizkavētu </w:t>
            </w:r>
            <w:r w:rsidR="001304BB" w:rsidRPr="001304BB">
              <w:rPr>
                <w:szCs w:val="24"/>
              </w:rPr>
              <w:t>uguns un dūmu izplatīb</w:t>
            </w:r>
            <w:r w:rsidR="001304BB">
              <w:rPr>
                <w:szCs w:val="24"/>
              </w:rPr>
              <w:t>u no viena ugunsdrošības nodalījuma uz otru</w:t>
            </w:r>
            <w:r w:rsidR="005478F8">
              <w:rPr>
                <w:szCs w:val="24"/>
              </w:rPr>
              <w:t xml:space="preserve">, un izbūvē no </w:t>
            </w:r>
            <w:r w:rsidR="005478F8" w:rsidRPr="005478F8">
              <w:rPr>
                <w:szCs w:val="24"/>
              </w:rPr>
              <w:t>būvizstrādājumiem, kuru ugunsreakcijas klase nav mazāka par A2-s1, d0</w:t>
            </w:r>
            <w:r w:rsidR="00043F94">
              <w:rPr>
                <w:szCs w:val="24"/>
              </w:rPr>
              <w:t>, ieskaitot siltumizolāciju un ārējo apdari.</w:t>
            </w:r>
          </w:p>
          <w:p w14:paraId="30022E09" w14:textId="77777777" w:rsidR="005E4B14" w:rsidRPr="00B62E3C" w:rsidRDefault="001304BB" w:rsidP="000B00A0">
            <w:pPr>
              <w:pStyle w:val="NoSpacing"/>
              <w:numPr>
                <w:ilvl w:val="0"/>
                <w:numId w:val="2"/>
              </w:numPr>
              <w:jc w:val="both"/>
              <w:rPr>
                <w:szCs w:val="24"/>
              </w:rPr>
            </w:pPr>
            <w:r w:rsidRPr="00B62E3C">
              <w:rPr>
                <w:szCs w:val="24"/>
              </w:rPr>
              <w:t>Atbilstoši LBN 201-15 pielikuma 5.tabulas 3.piezīmes prasībām “</w:t>
            </w:r>
            <w:r w:rsidR="00505E88" w:rsidRPr="00B62E3C">
              <w:rPr>
                <w:i/>
                <w:iCs/>
                <w:szCs w:val="24"/>
              </w:rPr>
              <w:t>Siltumizolācijas sistēmai ar ārējo apdari, kurai ir vismaz B-s1, d0 ugunsreakcijas klase, ugunsdrošu atdalošo joslu izbūve nav nepieciešama. </w:t>
            </w:r>
            <w:r w:rsidRPr="00B62E3C">
              <w:rPr>
                <w:i/>
                <w:iCs/>
                <w:szCs w:val="24"/>
              </w:rPr>
              <w:t>Ugunsdrošas atdalošās joslas/barjeras izvieto arī vietā, kur ugunsdrošības nodalījuma norobežojoša konstrukcija pieguļ ārsienai, kurai ugunsreakcijas klase zemāka par B-s1,d0</w:t>
            </w:r>
            <w:r w:rsidRPr="00DE6D0E">
              <w:rPr>
                <w:szCs w:val="24"/>
              </w:rPr>
              <w:t>”.</w:t>
            </w:r>
          </w:p>
          <w:p w14:paraId="5B350C14" w14:textId="2E6A23AF" w:rsidR="00B62E3C" w:rsidRPr="005E4B14" w:rsidRDefault="00B62E3C" w:rsidP="000B00A0">
            <w:pPr>
              <w:pStyle w:val="NoSpacing"/>
              <w:jc w:val="both"/>
              <w:rPr>
                <w:b/>
                <w:bCs/>
                <w:szCs w:val="24"/>
              </w:rPr>
            </w:pPr>
          </w:p>
        </w:tc>
        <w:bookmarkStart w:id="0" w:name="_GoBack"/>
        <w:bookmarkEnd w:id="0"/>
      </w:tr>
    </w:tbl>
    <w:p w14:paraId="696DDDE9" w14:textId="77777777" w:rsidR="007C3267" w:rsidRDefault="007C3267" w:rsidP="007C3267">
      <w:pPr>
        <w:pStyle w:val="NoSpacing"/>
      </w:pPr>
    </w:p>
    <w:sectPr w:rsidR="007C3267" w:rsidSect="00BB5B3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3BB9C" w14:textId="77777777" w:rsidR="00687E8C" w:rsidRDefault="00687E8C" w:rsidP="00D8214B">
      <w:pPr>
        <w:spacing w:line="240" w:lineRule="auto"/>
      </w:pPr>
      <w:r>
        <w:separator/>
      </w:r>
    </w:p>
  </w:endnote>
  <w:endnote w:type="continuationSeparator" w:id="0">
    <w:p w14:paraId="5503572B" w14:textId="77777777" w:rsidR="00687E8C" w:rsidRDefault="00687E8C" w:rsidP="00D821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B1727" w14:textId="77777777" w:rsidR="00687E8C" w:rsidRDefault="00687E8C" w:rsidP="00D8214B">
      <w:pPr>
        <w:spacing w:line="240" w:lineRule="auto"/>
      </w:pPr>
      <w:r>
        <w:separator/>
      </w:r>
    </w:p>
  </w:footnote>
  <w:footnote w:type="continuationSeparator" w:id="0">
    <w:p w14:paraId="7C760B20" w14:textId="77777777" w:rsidR="00687E8C" w:rsidRDefault="00687E8C" w:rsidP="00D8214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67671"/>
    <w:multiLevelType w:val="hybridMultilevel"/>
    <w:tmpl w:val="47480BD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368431B9"/>
    <w:multiLevelType w:val="hybridMultilevel"/>
    <w:tmpl w:val="315AB4A6"/>
    <w:lvl w:ilvl="0" w:tplc="04260011">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13"/>
    <w:rsid w:val="00043F94"/>
    <w:rsid w:val="00055595"/>
    <w:rsid w:val="00073351"/>
    <w:rsid w:val="00076DA9"/>
    <w:rsid w:val="000846C5"/>
    <w:rsid w:val="000B00A0"/>
    <w:rsid w:val="00121302"/>
    <w:rsid w:val="001304BB"/>
    <w:rsid w:val="001B0F32"/>
    <w:rsid w:val="001E063E"/>
    <w:rsid w:val="001E0FCC"/>
    <w:rsid w:val="001E7B6E"/>
    <w:rsid w:val="00222B7B"/>
    <w:rsid w:val="00272D9F"/>
    <w:rsid w:val="00292448"/>
    <w:rsid w:val="002B0F80"/>
    <w:rsid w:val="003375DB"/>
    <w:rsid w:val="00351F4B"/>
    <w:rsid w:val="00391458"/>
    <w:rsid w:val="003A051A"/>
    <w:rsid w:val="003A36B2"/>
    <w:rsid w:val="003A4B13"/>
    <w:rsid w:val="00407716"/>
    <w:rsid w:val="00407BB7"/>
    <w:rsid w:val="00437AC9"/>
    <w:rsid w:val="00440CFF"/>
    <w:rsid w:val="00467A69"/>
    <w:rsid w:val="004D3F95"/>
    <w:rsid w:val="00505E88"/>
    <w:rsid w:val="00532589"/>
    <w:rsid w:val="005478F8"/>
    <w:rsid w:val="005A1983"/>
    <w:rsid w:val="005A27A4"/>
    <w:rsid w:val="005E3339"/>
    <w:rsid w:val="005E4B14"/>
    <w:rsid w:val="00604CCF"/>
    <w:rsid w:val="00687E8C"/>
    <w:rsid w:val="006934D8"/>
    <w:rsid w:val="006E450B"/>
    <w:rsid w:val="006F2FF9"/>
    <w:rsid w:val="007773F0"/>
    <w:rsid w:val="007C3267"/>
    <w:rsid w:val="00911747"/>
    <w:rsid w:val="009236E0"/>
    <w:rsid w:val="009975A0"/>
    <w:rsid w:val="009C2184"/>
    <w:rsid w:val="00AB62F4"/>
    <w:rsid w:val="00B11B06"/>
    <w:rsid w:val="00B62E3C"/>
    <w:rsid w:val="00BB5B30"/>
    <w:rsid w:val="00C00B56"/>
    <w:rsid w:val="00CC4736"/>
    <w:rsid w:val="00D30296"/>
    <w:rsid w:val="00D8214B"/>
    <w:rsid w:val="00DA1FED"/>
    <w:rsid w:val="00DD0A9D"/>
    <w:rsid w:val="00DE6D0E"/>
    <w:rsid w:val="00E30D07"/>
    <w:rsid w:val="00F336FA"/>
    <w:rsid w:val="00F72BC8"/>
    <w:rsid w:val="00F802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B067"/>
  <w15:chartTrackingRefBased/>
  <w15:docId w15:val="{88112468-3172-49D5-82F2-A90FD204D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dWnormal"/>
    <w:next w:val="NoSpacing"/>
    <w:qFormat/>
    <w:rsid w:val="00BB5B30"/>
    <w:pPr>
      <w:spacing w:after="0"/>
    </w:pPr>
    <w:rPr>
      <w:rFonts w:ascii="Times New Roman" w:hAnsi="Times New Roman"/>
      <w:sz w:val="24"/>
      <w:lang w:val="en-GB"/>
    </w:rPr>
  </w:style>
  <w:style w:type="paragraph" w:styleId="Heading1">
    <w:name w:val="heading 1"/>
    <w:basedOn w:val="Normal"/>
    <w:next w:val="Normal"/>
    <w:link w:val="Heading1Char"/>
    <w:uiPriority w:val="9"/>
    <w:qFormat/>
    <w:rsid w:val="003A4B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4B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4B1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4B1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A4B1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A4B1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A4B1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A4B1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A4B1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5B30"/>
    <w:pPr>
      <w:spacing w:after="0" w:line="240" w:lineRule="auto"/>
    </w:pPr>
    <w:rPr>
      <w:rFonts w:ascii="Times New Roman" w:hAnsi="Times New Roman"/>
      <w:sz w:val="24"/>
    </w:rPr>
  </w:style>
  <w:style w:type="paragraph" w:styleId="TOC1">
    <w:name w:val="toc 1"/>
    <w:aliases w:val="IgPw"/>
    <w:basedOn w:val="Normal"/>
    <w:next w:val="Normal"/>
    <w:autoRedefine/>
    <w:uiPriority w:val="39"/>
    <w:unhideWhenUsed/>
    <w:qFormat/>
    <w:rsid w:val="009C2184"/>
    <w:pPr>
      <w:spacing w:after="100"/>
    </w:pPr>
    <w:rPr>
      <w:rFonts w:eastAsiaTheme="minorEastAsia" w:cs="Times New Roman"/>
      <w:kern w:val="0"/>
      <w:lang w:val="en-US"/>
      <w14:ligatures w14:val="none"/>
    </w:rPr>
  </w:style>
  <w:style w:type="character" w:customStyle="1" w:styleId="Heading1Char">
    <w:name w:val="Heading 1 Char"/>
    <w:basedOn w:val="DefaultParagraphFont"/>
    <w:link w:val="Heading1"/>
    <w:uiPriority w:val="9"/>
    <w:rsid w:val="003A4B13"/>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3A4B13"/>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3A4B13"/>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3A4B13"/>
    <w:rPr>
      <w:rFonts w:eastAsiaTheme="majorEastAsia" w:cstheme="majorBidi"/>
      <w:i/>
      <w:iCs/>
      <w:color w:val="2F5496" w:themeColor="accent1" w:themeShade="BF"/>
      <w:sz w:val="24"/>
      <w:lang w:val="en-GB"/>
    </w:rPr>
  </w:style>
  <w:style w:type="character" w:customStyle="1" w:styleId="Heading5Char">
    <w:name w:val="Heading 5 Char"/>
    <w:basedOn w:val="DefaultParagraphFont"/>
    <w:link w:val="Heading5"/>
    <w:uiPriority w:val="9"/>
    <w:semiHidden/>
    <w:rsid w:val="003A4B13"/>
    <w:rPr>
      <w:rFonts w:eastAsiaTheme="majorEastAsia" w:cstheme="majorBidi"/>
      <w:color w:val="2F5496" w:themeColor="accent1" w:themeShade="BF"/>
      <w:sz w:val="24"/>
      <w:lang w:val="en-GB"/>
    </w:rPr>
  </w:style>
  <w:style w:type="character" w:customStyle="1" w:styleId="Heading6Char">
    <w:name w:val="Heading 6 Char"/>
    <w:basedOn w:val="DefaultParagraphFont"/>
    <w:link w:val="Heading6"/>
    <w:uiPriority w:val="9"/>
    <w:semiHidden/>
    <w:rsid w:val="003A4B13"/>
    <w:rPr>
      <w:rFonts w:eastAsiaTheme="majorEastAsia" w:cstheme="majorBidi"/>
      <w:i/>
      <w:iCs/>
      <w:color w:val="595959" w:themeColor="text1" w:themeTint="A6"/>
      <w:sz w:val="24"/>
      <w:lang w:val="en-GB"/>
    </w:rPr>
  </w:style>
  <w:style w:type="character" w:customStyle="1" w:styleId="Heading7Char">
    <w:name w:val="Heading 7 Char"/>
    <w:basedOn w:val="DefaultParagraphFont"/>
    <w:link w:val="Heading7"/>
    <w:uiPriority w:val="9"/>
    <w:semiHidden/>
    <w:rsid w:val="003A4B13"/>
    <w:rPr>
      <w:rFonts w:eastAsiaTheme="majorEastAsia" w:cstheme="majorBidi"/>
      <w:color w:val="595959" w:themeColor="text1" w:themeTint="A6"/>
      <w:sz w:val="24"/>
      <w:lang w:val="en-GB"/>
    </w:rPr>
  </w:style>
  <w:style w:type="character" w:customStyle="1" w:styleId="Heading8Char">
    <w:name w:val="Heading 8 Char"/>
    <w:basedOn w:val="DefaultParagraphFont"/>
    <w:link w:val="Heading8"/>
    <w:uiPriority w:val="9"/>
    <w:semiHidden/>
    <w:rsid w:val="003A4B13"/>
    <w:rPr>
      <w:rFonts w:eastAsiaTheme="majorEastAsia" w:cstheme="majorBidi"/>
      <w:i/>
      <w:iCs/>
      <w:color w:val="272727" w:themeColor="text1" w:themeTint="D8"/>
      <w:sz w:val="24"/>
      <w:lang w:val="en-GB"/>
    </w:rPr>
  </w:style>
  <w:style w:type="character" w:customStyle="1" w:styleId="Heading9Char">
    <w:name w:val="Heading 9 Char"/>
    <w:basedOn w:val="DefaultParagraphFont"/>
    <w:link w:val="Heading9"/>
    <w:uiPriority w:val="9"/>
    <w:semiHidden/>
    <w:rsid w:val="003A4B13"/>
    <w:rPr>
      <w:rFonts w:eastAsiaTheme="majorEastAsia" w:cstheme="majorBidi"/>
      <w:color w:val="272727" w:themeColor="text1" w:themeTint="D8"/>
      <w:sz w:val="24"/>
      <w:lang w:val="en-GB"/>
    </w:rPr>
  </w:style>
  <w:style w:type="paragraph" w:styleId="Title">
    <w:name w:val="Title"/>
    <w:basedOn w:val="Normal"/>
    <w:next w:val="Normal"/>
    <w:link w:val="TitleChar"/>
    <w:uiPriority w:val="10"/>
    <w:qFormat/>
    <w:rsid w:val="003A4B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B1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3A4B1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B1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A4B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4B13"/>
    <w:rPr>
      <w:rFonts w:ascii="Times New Roman" w:hAnsi="Times New Roman"/>
      <w:i/>
      <w:iCs/>
      <w:color w:val="404040" w:themeColor="text1" w:themeTint="BF"/>
      <w:sz w:val="24"/>
      <w:lang w:val="en-GB"/>
    </w:rPr>
  </w:style>
  <w:style w:type="paragraph" w:styleId="ListParagraph">
    <w:name w:val="List Paragraph"/>
    <w:aliases w:val="Saistīto dokumentu saraksts,2,Normal bullet 2,Bullet list,Strip,H&amp;P List Paragraph,Syle 1"/>
    <w:basedOn w:val="Normal"/>
    <w:link w:val="ListParagraphChar"/>
    <w:uiPriority w:val="34"/>
    <w:qFormat/>
    <w:rsid w:val="003A4B13"/>
    <w:pPr>
      <w:ind w:left="720"/>
      <w:contextualSpacing/>
    </w:pPr>
  </w:style>
  <w:style w:type="character" w:styleId="IntenseEmphasis">
    <w:name w:val="Intense Emphasis"/>
    <w:basedOn w:val="DefaultParagraphFont"/>
    <w:uiPriority w:val="21"/>
    <w:qFormat/>
    <w:rsid w:val="003A4B13"/>
    <w:rPr>
      <w:i/>
      <w:iCs/>
      <w:color w:val="2F5496" w:themeColor="accent1" w:themeShade="BF"/>
    </w:rPr>
  </w:style>
  <w:style w:type="paragraph" w:styleId="IntenseQuote">
    <w:name w:val="Intense Quote"/>
    <w:basedOn w:val="Normal"/>
    <w:next w:val="Normal"/>
    <w:link w:val="IntenseQuoteChar"/>
    <w:uiPriority w:val="30"/>
    <w:qFormat/>
    <w:rsid w:val="003A4B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4B13"/>
    <w:rPr>
      <w:rFonts w:ascii="Times New Roman" w:hAnsi="Times New Roman"/>
      <w:i/>
      <w:iCs/>
      <w:color w:val="2F5496" w:themeColor="accent1" w:themeShade="BF"/>
      <w:sz w:val="24"/>
      <w:lang w:val="en-GB"/>
    </w:rPr>
  </w:style>
  <w:style w:type="character" w:styleId="IntenseReference">
    <w:name w:val="Intense Reference"/>
    <w:basedOn w:val="DefaultParagraphFont"/>
    <w:uiPriority w:val="32"/>
    <w:qFormat/>
    <w:rsid w:val="003A4B13"/>
    <w:rPr>
      <w:b/>
      <w:bCs/>
      <w:smallCaps/>
      <w:color w:val="2F5496" w:themeColor="accent1" w:themeShade="BF"/>
      <w:spacing w:val="5"/>
    </w:rPr>
  </w:style>
  <w:style w:type="table" w:styleId="TableGrid">
    <w:name w:val="Table Grid"/>
    <w:basedOn w:val="TableNormal"/>
    <w:uiPriority w:val="39"/>
    <w:rsid w:val="007C3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8214B"/>
    <w:pPr>
      <w:widowControl w:val="0"/>
      <w:tabs>
        <w:tab w:val="center" w:pos="4320"/>
        <w:tab w:val="right" w:pos="8640"/>
      </w:tabs>
      <w:spacing w:line="240" w:lineRule="auto"/>
    </w:pPr>
    <w:rPr>
      <w:rFonts w:ascii="Calibri" w:eastAsia="Calibri" w:hAnsi="Calibri" w:cs="Times New Roman"/>
      <w:kern w:val="0"/>
      <w:sz w:val="22"/>
      <w:lang w:val="en-US"/>
      <w14:ligatures w14:val="none"/>
    </w:rPr>
  </w:style>
  <w:style w:type="character" w:customStyle="1" w:styleId="FooterChar">
    <w:name w:val="Footer Char"/>
    <w:basedOn w:val="DefaultParagraphFont"/>
    <w:link w:val="Footer"/>
    <w:uiPriority w:val="99"/>
    <w:rsid w:val="00D8214B"/>
    <w:rPr>
      <w:rFonts w:ascii="Calibri" w:eastAsia="Calibri" w:hAnsi="Calibri" w:cs="Times New Roman"/>
      <w:kern w:val="0"/>
      <w:lang w:val="en-US"/>
      <w14:ligatures w14:val="none"/>
    </w:rPr>
  </w:style>
  <w:style w:type="paragraph" w:styleId="FootnoteText">
    <w:name w:val="footnote text"/>
    <w:basedOn w:val="Normal"/>
    <w:link w:val="FootnoteTextChar"/>
    <w:uiPriority w:val="99"/>
    <w:semiHidden/>
    <w:unhideWhenUsed/>
    <w:rsid w:val="00D8214B"/>
    <w:pPr>
      <w:spacing w:line="240" w:lineRule="auto"/>
    </w:pPr>
    <w:rPr>
      <w:rFonts w:asciiTheme="minorHAnsi" w:hAnsiTheme="minorHAnsi"/>
      <w:kern w:val="0"/>
      <w:sz w:val="20"/>
      <w:szCs w:val="20"/>
      <w:lang w:val="lv-LV"/>
      <w14:ligatures w14:val="none"/>
    </w:rPr>
  </w:style>
  <w:style w:type="character" w:customStyle="1" w:styleId="FootnoteTextChar">
    <w:name w:val="Footnote Text Char"/>
    <w:basedOn w:val="DefaultParagraphFont"/>
    <w:link w:val="FootnoteText"/>
    <w:uiPriority w:val="99"/>
    <w:semiHidden/>
    <w:rsid w:val="00D8214B"/>
    <w:rPr>
      <w:kern w:val="0"/>
      <w:sz w:val="20"/>
      <w:szCs w:val="20"/>
      <w14:ligatures w14:val="none"/>
    </w:rPr>
  </w:style>
  <w:style w:type="character" w:styleId="FootnoteReference">
    <w:name w:val="footnote reference"/>
    <w:basedOn w:val="DefaultParagraphFont"/>
    <w:uiPriority w:val="99"/>
    <w:semiHidden/>
    <w:unhideWhenUsed/>
    <w:rsid w:val="00D8214B"/>
    <w:rPr>
      <w:vertAlign w:val="superscript"/>
    </w:rPr>
  </w:style>
  <w:style w:type="character" w:styleId="Hyperlink">
    <w:name w:val="Hyperlink"/>
    <w:basedOn w:val="DefaultParagraphFont"/>
    <w:uiPriority w:val="99"/>
    <w:unhideWhenUsed/>
    <w:rsid w:val="00DA1FED"/>
    <w:rPr>
      <w:color w:val="0563C1" w:themeColor="hyperlink"/>
      <w:u w:val="single"/>
    </w:rPr>
  </w:style>
  <w:style w:type="character" w:customStyle="1" w:styleId="ListParagraphChar">
    <w:name w:val="List Paragraph Char"/>
    <w:aliases w:val="Saistīto dokumentu saraksts Char,2 Char,Normal bullet 2 Char,Bullet list Char,Strip Char,H&amp;P List Paragraph Char,Syle 1 Char"/>
    <w:link w:val="ListParagraph"/>
    <w:uiPriority w:val="34"/>
    <w:qFormat/>
    <w:locked/>
    <w:rsid w:val="005E4B14"/>
    <w:rPr>
      <w:rFonts w:ascii="Times New Roman" w:hAnsi="Times New Roman"/>
      <w:sz w:val="24"/>
      <w:lang w:val="en-GB"/>
    </w:rPr>
  </w:style>
  <w:style w:type="character" w:styleId="CommentReference">
    <w:name w:val="annotation reference"/>
    <w:basedOn w:val="DefaultParagraphFont"/>
    <w:uiPriority w:val="99"/>
    <w:semiHidden/>
    <w:unhideWhenUsed/>
    <w:rsid w:val="005478F8"/>
    <w:rPr>
      <w:sz w:val="16"/>
      <w:szCs w:val="16"/>
    </w:rPr>
  </w:style>
  <w:style w:type="paragraph" w:styleId="CommentText">
    <w:name w:val="annotation text"/>
    <w:basedOn w:val="Normal"/>
    <w:link w:val="CommentTextChar"/>
    <w:uiPriority w:val="99"/>
    <w:unhideWhenUsed/>
    <w:rsid w:val="005478F8"/>
    <w:pPr>
      <w:spacing w:line="240" w:lineRule="auto"/>
    </w:pPr>
    <w:rPr>
      <w:sz w:val="20"/>
      <w:szCs w:val="20"/>
    </w:rPr>
  </w:style>
  <w:style w:type="character" w:customStyle="1" w:styleId="CommentTextChar">
    <w:name w:val="Comment Text Char"/>
    <w:basedOn w:val="DefaultParagraphFont"/>
    <w:link w:val="CommentText"/>
    <w:uiPriority w:val="99"/>
    <w:rsid w:val="005478F8"/>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5478F8"/>
    <w:rPr>
      <w:b/>
      <w:bCs/>
    </w:rPr>
  </w:style>
  <w:style w:type="character" w:customStyle="1" w:styleId="CommentSubjectChar">
    <w:name w:val="Comment Subject Char"/>
    <w:basedOn w:val="CommentTextChar"/>
    <w:link w:val="CommentSubject"/>
    <w:uiPriority w:val="99"/>
    <w:semiHidden/>
    <w:rsid w:val="005478F8"/>
    <w:rPr>
      <w:rFonts w:ascii="Times New Roman" w:hAnsi="Times New Roman"/>
      <w:b/>
      <w:bCs/>
      <w:sz w:val="20"/>
      <w:szCs w:val="20"/>
      <w:lang w:val="en-GB"/>
    </w:rPr>
  </w:style>
  <w:style w:type="paragraph" w:styleId="Revision">
    <w:name w:val="Revision"/>
    <w:hidden/>
    <w:uiPriority w:val="99"/>
    <w:semiHidden/>
    <w:rsid w:val="00604CCF"/>
    <w:pPr>
      <w:spacing w:after="0" w:line="240" w:lineRule="auto"/>
    </w:pPr>
    <w:rPr>
      <w:rFonts w:ascii="Times New Roman" w:hAnsi="Times New Roman"/>
      <w:sz w:val="24"/>
      <w:lang w:val="en-GB"/>
    </w:rPr>
  </w:style>
  <w:style w:type="paragraph" w:styleId="BalloonText">
    <w:name w:val="Balloon Text"/>
    <w:basedOn w:val="Normal"/>
    <w:link w:val="BalloonTextChar"/>
    <w:uiPriority w:val="99"/>
    <w:semiHidden/>
    <w:unhideWhenUsed/>
    <w:rsid w:val="004D3F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F95"/>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Igors Ponomarjovs</dc:creator>
  <cp:keywords/>
  <dc:description/>
  <cp:lastModifiedBy>Jeļena Grigorjeva</cp:lastModifiedBy>
  <cp:revision>10</cp:revision>
  <dcterms:created xsi:type="dcterms:W3CDTF">2026-02-23T06:04:00Z</dcterms:created>
  <dcterms:modified xsi:type="dcterms:W3CDTF">2026-03-04T07:16:00Z</dcterms:modified>
</cp:coreProperties>
</file>