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1B2E26">
        <w:tc>
          <w:tcPr>
            <w:tcW w:w="4673" w:type="dxa"/>
            <w:shd w:val="clear" w:color="auto" w:fill="9CC2E5" w:themeFill="accent1" w:themeFillTint="99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1B2E26">
        <w:tc>
          <w:tcPr>
            <w:tcW w:w="4673" w:type="dxa"/>
            <w:shd w:val="clear" w:color="auto" w:fill="9CC2E5" w:themeFill="accent1" w:themeFillTint="99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1B2E26">
        <w:tc>
          <w:tcPr>
            <w:tcW w:w="4673" w:type="dxa"/>
            <w:shd w:val="clear" w:color="auto" w:fill="9CC2E5" w:themeFill="accent1" w:themeFillTint="99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B27DF7" w:rsidRPr="00396B2F" w14:paraId="0F99C63C" w14:textId="77777777" w:rsidTr="001B2E26">
        <w:tc>
          <w:tcPr>
            <w:tcW w:w="4673" w:type="dxa"/>
            <w:shd w:val="clear" w:color="auto" w:fill="9CC2E5" w:themeFill="accent1" w:themeFillTint="99"/>
          </w:tcPr>
          <w:p w14:paraId="50F14572" w14:textId="19526D71" w:rsidR="00B27DF7" w:rsidRPr="00396B2F" w:rsidRDefault="00B27DF7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termiņš:</w:t>
            </w:r>
            <w:bookmarkStart w:id="0" w:name="_GoBack"/>
            <w:bookmarkEnd w:id="0"/>
          </w:p>
        </w:tc>
        <w:tc>
          <w:tcPr>
            <w:tcW w:w="3623" w:type="dxa"/>
            <w:shd w:val="clear" w:color="auto" w:fill="auto"/>
          </w:tcPr>
          <w:p w14:paraId="5302057F" w14:textId="77777777" w:rsidR="00B27DF7" w:rsidRPr="00396B2F" w:rsidRDefault="00B27DF7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151C0145" w:rsidR="001E7DD2" w:rsidRPr="002035F0" w:rsidRDefault="00F70A34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F70A34">
        <w:rPr>
          <w:rFonts w:ascii="Times New Roman" w:hAnsi="Times New Roman"/>
          <w:b/>
          <w:color w:val="000000"/>
          <w:sz w:val="28"/>
          <w:szCs w:val="28"/>
          <w:u w:val="single"/>
        </w:rPr>
        <w:t>Klinšu kāpšanas sienas izveide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410"/>
        <w:gridCol w:w="1417"/>
        <w:gridCol w:w="3765"/>
      </w:tblGrid>
      <w:tr w:rsidR="002035F0" w:rsidRPr="002035F0" w14:paraId="7686E16D" w14:textId="77777777" w:rsidTr="001B2E26">
        <w:tc>
          <w:tcPr>
            <w:tcW w:w="704" w:type="dxa"/>
            <w:shd w:val="clear" w:color="auto" w:fill="9CC2E5" w:themeFill="accent1" w:themeFillTint="99"/>
            <w:vAlign w:val="center"/>
          </w:tcPr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827" w:type="dxa"/>
            <w:gridSpan w:val="2"/>
            <w:shd w:val="clear" w:color="auto" w:fill="9CC2E5" w:themeFill="accent1" w:themeFillTint="99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765" w:type="dxa"/>
            <w:shd w:val="clear" w:color="auto" w:fill="9CC2E5" w:themeFill="accent1" w:themeFillTint="99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F70A34" w:rsidRPr="002035F0" w14:paraId="526C1504" w14:textId="77777777" w:rsidTr="00546324">
        <w:tc>
          <w:tcPr>
            <w:tcW w:w="8296" w:type="dxa"/>
            <w:gridSpan w:val="4"/>
            <w:shd w:val="clear" w:color="auto" w:fill="auto"/>
            <w:vAlign w:val="center"/>
          </w:tcPr>
          <w:p w14:paraId="05BA2D64" w14:textId="22B88DD3" w:rsidR="00F70A34" w:rsidRPr="00F70A34" w:rsidRDefault="004863F8" w:rsidP="00486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6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Klinšu kāpšanas sienas konstrukcij</w:t>
            </w:r>
            <w:r w:rsidR="00B578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Pr="00486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paredzēt</w:t>
            </w:r>
            <w:r w:rsidR="00B578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 uzstādīt uz </w:t>
            </w:r>
            <w:r w:rsidR="006E5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</w:t>
            </w:r>
            <w:r w:rsidR="006E541B" w:rsidRPr="006E5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obila ugunsdzēsības sporta tor</w:t>
            </w:r>
            <w:r w:rsidR="006E5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ņa</w:t>
            </w:r>
            <w:r w:rsidR="006E541B" w:rsidRPr="006E5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6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sāna fasādes</w:t>
            </w:r>
            <w:r w:rsidR="00B578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(turpmāk – Objekts)</w:t>
            </w:r>
            <w:r w:rsidR="008F5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5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nodrošinot kāpšanu ar drošināšanu.</w:t>
            </w:r>
          </w:p>
        </w:tc>
      </w:tr>
      <w:tr w:rsidR="00831316" w:rsidRPr="002035F0" w14:paraId="3C90F1EB" w14:textId="37CFA5DA" w:rsidTr="001B2E26">
        <w:tc>
          <w:tcPr>
            <w:tcW w:w="8296" w:type="dxa"/>
            <w:gridSpan w:val="4"/>
            <w:shd w:val="clear" w:color="auto" w:fill="BDD6EE" w:themeFill="accent1" w:themeFillTint="66"/>
            <w:vAlign w:val="center"/>
          </w:tcPr>
          <w:p w14:paraId="341A7A4E" w14:textId="6329CBB4" w:rsidR="00831316" w:rsidRPr="00270E50" w:rsidRDefault="00831316" w:rsidP="001065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Informācija par </w:t>
            </w:r>
            <w:r w:rsidR="001B2E26" w:rsidRP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P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bjektu:</w:t>
            </w:r>
          </w:p>
        </w:tc>
      </w:tr>
      <w:tr w:rsidR="00831316" w:rsidRPr="002035F0" w14:paraId="4A291381" w14:textId="06F990F0" w:rsidTr="00270E50"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7B2B0ED4" w14:textId="4C9B35CE" w:rsidR="00831316" w:rsidRPr="00270E50" w:rsidRDefault="00831316" w:rsidP="001065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Objekts:</w:t>
            </w:r>
          </w:p>
        </w:tc>
        <w:tc>
          <w:tcPr>
            <w:tcW w:w="5182" w:type="dxa"/>
            <w:gridSpan w:val="2"/>
            <w:shd w:val="clear" w:color="auto" w:fill="BDD6EE" w:themeFill="accent1" w:themeFillTint="66"/>
            <w:vAlign w:val="center"/>
          </w:tcPr>
          <w:p w14:paraId="2F3A0814" w14:textId="387CCDDB" w:rsidR="00831316" w:rsidRPr="00270E50" w:rsidRDefault="004871FF" w:rsidP="001065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Mobils ugunsdzēsības sporta tornis</w:t>
            </w:r>
          </w:p>
        </w:tc>
      </w:tr>
      <w:tr w:rsidR="00831316" w:rsidRPr="002035F0" w14:paraId="49612CE6" w14:textId="77777777" w:rsidTr="00270E50"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4AFB4B77" w14:textId="548B0E7A" w:rsidR="00831316" w:rsidRPr="00270E50" w:rsidRDefault="00831316" w:rsidP="001065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Adrese:</w:t>
            </w:r>
          </w:p>
        </w:tc>
        <w:tc>
          <w:tcPr>
            <w:tcW w:w="5182" w:type="dxa"/>
            <w:gridSpan w:val="2"/>
            <w:shd w:val="clear" w:color="auto" w:fill="BDD6EE" w:themeFill="accent1" w:themeFillTint="66"/>
            <w:vAlign w:val="center"/>
          </w:tcPr>
          <w:p w14:paraId="5DDEDA15" w14:textId="320B24B4" w:rsidR="00831316" w:rsidRPr="00270E50" w:rsidRDefault="004871FF" w:rsidP="001065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Liepājas pilsētas teritorija </w:t>
            </w:r>
            <w:r w:rsidRPr="00270E5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(precīza adrese tiks precizēta pirms darbu uzsākšanas).</w:t>
            </w:r>
          </w:p>
        </w:tc>
      </w:tr>
      <w:tr w:rsidR="00831316" w:rsidRPr="002035F0" w14:paraId="745596BE" w14:textId="77777777" w:rsidTr="00270E50"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7442943A" w14:textId="711173AF" w:rsidR="00831316" w:rsidRPr="00270E50" w:rsidRDefault="00831316" w:rsidP="001065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Paredzētā uzstādīšanas vieta:</w:t>
            </w:r>
          </w:p>
        </w:tc>
        <w:tc>
          <w:tcPr>
            <w:tcW w:w="5182" w:type="dxa"/>
            <w:gridSpan w:val="2"/>
            <w:shd w:val="clear" w:color="auto" w:fill="BDD6EE" w:themeFill="accent1" w:themeFillTint="66"/>
            <w:vAlign w:val="center"/>
          </w:tcPr>
          <w:p w14:paraId="04BD7C48" w14:textId="537080D1" w:rsidR="00831316" w:rsidRPr="00270E50" w:rsidRDefault="00831316" w:rsidP="001065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Torņa sāna fasāde</w:t>
            </w:r>
          </w:p>
        </w:tc>
      </w:tr>
      <w:tr w:rsidR="00831316" w:rsidRPr="002035F0" w14:paraId="10DEFDEB" w14:textId="77777777" w:rsidTr="00270E50"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458A5DFF" w14:textId="19CE48DC" w:rsidR="00831316" w:rsidRPr="00B73F68" w:rsidRDefault="00831316" w:rsidP="001065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3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Torņa </w:t>
            </w:r>
            <w:r w:rsidR="008F5A68" w:rsidRPr="00B73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fasādes </w:t>
            </w:r>
            <w:r w:rsidRPr="00B73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augstums:</w:t>
            </w:r>
          </w:p>
        </w:tc>
        <w:tc>
          <w:tcPr>
            <w:tcW w:w="5182" w:type="dxa"/>
            <w:gridSpan w:val="2"/>
            <w:shd w:val="clear" w:color="auto" w:fill="BDD6EE" w:themeFill="accent1" w:themeFillTint="66"/>
            <w:vAlign w:val="center"/>
          </w:tcPr>
          <w:p w14:paraId="3485ECED" w14:textId="4455C11E" w:rsidR="00831316" w:rsidRPr="00270E50" w:rsidRDefault="004871FF" w:rsidP="001065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augšējās platformas augstums no zemes —12,60 m </w:t>
            </w:r>
            <w:r w:rsidR="001C7A86" w:rsidRPr="001C7A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±</w:t>
            </w:r>
            <w:r w:rsidRP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0,2 m </w:t>
            </w:r>
          </w:p>
        </w:tc>
      </w:tr>
      <w:tr w:rsidR="00831316" w:rsidRPr="002035F0" w14:paraId="38B75191" w14:textId="77777777" w:rsidTr="00270E50"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78C7A99F" w14:textId="02EFAE01" w:rsidR="00831316" w:rsidRPr="00B73F68" w:rsidRDefault="00831316" w:rsidP="001065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3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Torņa </w:t>
            </w:r>
            <w:r w:rsidR="008F5A68" w:rsidRPr="00B73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fasādes </w:t>
            </w:r>
            <w:r w:rsidR="004871FF" w:rsidRPr="00B73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platums:</w:t>
            </w:r>
          </w:p>
        </w:tc>
        <w:tc>
          <w:tcPr>
            <w:tcW w:w="5182" w:type="dxa"/>
            <w:gridSpan w:val="2"/>
            <w:shd w:val="clear" w:color="auto" w:fill="BDD6EE" w:themeFill="accent1" w:themeFillTint="66"/>
            <w:vAlign w:val="center"/>
          </w:tcPr>
          <w:p w14:paraId="40312723" w14:textId="5BFC590E" w:rsidR="00831316" w:rsidRPr="00270E50" w:rsidRDefault="006E541B" w:rsidP="006E54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torņa moduļa platums 220 cm ± 8cm</w:t>
            </w:r>
          </w:p>
        </w:tc>
      </w:tr>
      <w:tr w:rsidR="00831316" w:rsidRPr="002035F0" w14:paraId="6D5979C5" w14:textId="77777777" w:rsidTr="00270E50"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50F7807C" w14:textId="6ABC6B19" w:rsidR="00831316" w:rsidRPr="00270E50" w:rsidRDefault="00270E50" w:rsidP="008313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Informatīvs attēls</w:t>
            </w:r>
            <w:r w:rsidR="00831316" w:rsidRP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182" w:type="dxa"/>
            <w:gridSpan w:val="2"/>
            <w:shd w:val="clear" w:color="auto" w:fill="BDD6EE" w:themeFill="accent1" w:themeFillTint="66"/>
            <w:vAlign w:val="center"/>
          </w:tcPr>
          <w:p w14:paraId="4208F987" w14:textId="7CCDA067" w:rsidR="00831316" w:rsidRPr="00270E50" w:rsidRDefault="001C7A86" w:rsidP="008313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268764F" wp14:editId="778F8CB2">
                  <wp:extent cx="1206500" cy="180975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150" cy="181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16" w:rsidRPr="002035F0" w14:paraId="06C5447A" w14:textId="77777777" w:rsidTr="00831316">
        <w:tc>
          <w:tcPr>
            <w:tcW w:w="704" w:type="dxa"/>
            <w:shd w:val="clear" w:color="auto" w:fill="auto"/>
            <w:vAlign w:val="center"/>
          </w:tcPr>
          <w:p w14:paraId="6EC934A4" w14:textId="36E22AC0" w:rsidR="00831316" w:rsidRPr="002035F0" w:rsidRDefault="00831316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7F560C7" w14:textId="09408862" w:rsidR="00831316" w:rsidRPr="006B5707" w:rsidRDefault="00831316" w:rsidP="008313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62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Kāpšanas siena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jābūt</w:t>
            </w:r>
            <w:r w:rsidRPr="00BD62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mākslīgi veidota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BD62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kāpšanas konstrukcija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BD62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 klints reljefa imitāciju, kas aprīkota ar aizķerēm </w:t>
            </w:r>
            <w:r w:rsid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BD62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rokām un kājām</w:t>
            </w:r>
            <w:r w:rsidR="0027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Pr="00BD62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nodrošinot kāpēja kustību vertikālā un/vai horizontālā virzienā.</w:t>
            </w:r>
          </w:p>
        </w:tc>
        <w:tc>
          <w:tcPr>
            <w:tcW w:w="3765" w:type="dxa"/>
            <w:shd w:val="clear" w:color="auto" w:fill="auto"/>
          </w:tcPr>
          <w:p w14:paraId="5B8E8D08" w14:textId="251A6546" w:rsidR="00831316" w:rsidRPr="00BD621B" w:rsidRDefault="00831316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E26" w:rsidRPr="002035F0" w14:paraId="382E6FB9" w14:textId="77777777" w:rsidTr="001B2E26">
        <w:tc>
          <w:tcPr>
            <w:tcW w:w="8296" w:type="dxa"/>
            <w:gridSpan w:val="4"/>
            <w:shd w:val="clear" w:color="auto" w:fill="DEEAF6" w:themeFill="accent1" w:themeFillTint="33"/>
            <w:vAlign w:val="center"/>
          </w:tcPr>
          <w:p w14:paraId="6AD63EA7" w14:textId="57796DDD" w:rsidR="001B2E26" w:rsidRPr="001B2E26" w:rsidRDefault="001B2E26" w:rsidP="001B2E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B2E2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Konstrukcija:</w:t>
            </w:r>
          </w:p>
        </w:tc>
      </w:tr>
      <w:tr w:rsidR="00831316" w:rsidRPr="002035F0" w14:paraId="1C1CE085" w14:textId="77777777" w:rsidTr="00831316">
        <w:tc>
          <w:tcPr>
            <w:tcW w:w="704" w:type="dxa"/>
            <w:shd w:val="clear" w:color="auto" w:fill="auto"/>
            <w:vAlign w:val="center"/>
          </w:tcPr>
          <w:p w14:paraId="36538FF7" w14:textId="33C84E58" w:rsidR="00831316" w:rsidRDefault="00831316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EC6C7A7" w14:textId="0F71F5EB" w:rsidR="00831316" w:rsidRPr="007B30F4" w:rsidRDefault="004871FF" w:rsidP="008313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0B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Kāpšanas sienas virsmai jābūt veidotai no </w:t>
            </w:r>
            <w:proofErr w:type="spellStart"/>
            <w:r w:rsidRPr="00590B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ārtelpām</w:t>
            </w:r>
            <w:proofErr w:type="spellEnd"/>
            <w:r w:rsidRPr="00590B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paredzētiem moduļu paneļiem vai ekvivalentas konstrukcijas, nodrošinot pietiekamu mehānisko izturību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65" w:type="dxa"/>
            <w:shd w:val="clear" w:color="auto" w:fill="auto"/>
          </w:tcPr>
          <w:p w14:paraId="6AE63219" w14:textId="4C4D696A" w:rsidR="00831316" w:rsidRPr="00590B4D" w:rsidRDefault="00831316" w:rsidP="00590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63F8" w:rsidRPr="002035F0" w14:paraId="282D1155" w14:textId="77777777" w:rsidTr="00831316">
        <w:tc>
          <w:tcPr>
            <w:tcW w:w="704" w:type="dxa"/>
            <w:shd w:val="clear" w:color="auto" w:fill="auto"/>
            <w:vAlign w:val="center"/>
          </w:tcPr>
          <w:p w14:paraId="3EAAAB70" w14:textId="73D463A8" w:rsidR="004863F8" w:rsidRDefault="001B2E26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47FAF65" w14:textId="5FD909B9" w:rsidR="004863F8" w:rsidRPr="007B30F4" w:rsidRDefault="004863F8" w:rsidP="008313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6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Paneļiem jābūt aprīkotiem ar rūpnieciski iestrādātiem, pret koroziju aizsargātiem vītņotiem stiprinājuma </w:t>
            </w:r>
            <w:r w:rsidRPr="00486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punktie</w:t>
            </w:r>
            <w:r w:rsidRPr="00B73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m,</w:t>
            </w:r>
            <w:r w:rsidRPr="00486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kas nodrošina aizķeru brīvu konfigurācijas maiņu.</w:t>
            </w:r>
          </w:p>
        </w:tc>
        <w:tc>
          <w:tcPr>
            <w:tcW w:w="3765" w:type="dxa"/>
            <w:shd w:val="clear" w:color="auto" w:fill="auto"/>
          </w:tcPr>
          <w:p w14:paraId="21788904" w14:textId="77777777" w:rsidR="004863F8" w:rsidRPr="002035F0" w:rsidRDefault="004863F8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2E26" w:rsidRPr="002035F0" w14:paraId="14618E9D" w14:textId="77777777" w:rsidTr="001B2E26">
        <w:tc>
          <w:tcPr>
            <w:tcW w:w="8296" w:type="dxa"/>
            <w:gridSpan w:val="4"/>
            <w:shd w:val="clear" w:color="auto" w:fill="DEEAF6" w:themeFill="accent1" w:themeFillTint="33"/>
            <w:vAlign w:val="center"/>
          </w:tcPr>
          <w:p w14:paraId="2DB85A00" w14:textId="4A13ED30" w:rsidR="001B2E26" w:rsidRPr="001B2E26" w:rsidRDefault="001B2E26" w:rsidP="001B2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B2E2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Virsmas </w:t>
            </w:r>
            <w:proofErr w:type="spellStart"/>
            <w:r w:rsidRPr="001B2E2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pretslīdes</w:t>
            </w:r>
            <w:proofErr w:type="spellEnd"/>
            <w:r w:rsidRPr="001B2E2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īpašības:</w:t>
            </w:r>
          </w:p>
        </w:tc>
      </w:tr>
      <w:tr w:rsidR="00831316" w:rsidRPr="002035F0" w14:paraId="42CEF9DE" w14:textId="77777777" w:rsidTr="00831316">
        <w:tc>
          <w:tcPr>
            <w:tcW w:w="704" w:type="dxa"/>
            <w:shd w:val="clear" w:color="auto" w:fill="auto"/>
            <w:vAlign w:val="center"/>
          </w:tcPr>
          <w:p w14:paraId="0095991B" w14:textId="7E14A271" w:rsidR="00831316" w:rsidRDefault="00A96A87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61F4467" w14:textId="4C068772" w:rsidR="00831316" w:rsidRPr="006B5707" w:rsidRDefault="00831316" w:rsidP="008313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3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Paneļu virsmai jābūt ar neslīdošu abrazīvu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vai </w:t>
            </w:r>
            <w:r w:rsidRPr="007B3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ekvivalentu </w:t>
            </w:r>
            <w:proofErr w:type="spellStart"/>
            <w:r w:rsidRPr="007B3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pretslīdes</w:t>
            </w:r>
            <w:proofErr w:type="spellEnd"/>
            <w:r w:rsidRPr="007B3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virsmas risinājumu, kas saglabā savas ekspluatācijas un </w:t>
            </w:r>
            <w:proofErr w:type="spellStart"/>
            <w:r w:rsidRPr="007B3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pretslīdes</w:t>
            </w:r>
            <w:proofErr w:type="spellEnd"/>
            <w:r w:rsidRPr="007B30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īpašības UV starojuma, mitruma, temperatūras svārstību un nodiluma ietekmē.</w:t>
            </w:r>
          </w:p>
        </w:tc>
        <w:tc>
          <w:tcPr>
            <w:tcW w:w="3765" w:type="dxa"/>
            <w:shd w:val="clear" w:color="auto" w:fill="auto"/>
          </w:tcPr>
          <w:p w14:paraId="788FE19B" w14:textId="77777777" w:rsidR="00831316" w:rsidRPr="002035F0" w:rsidRDefault="00831316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2E26" w:rsidRPr="002035F0" w14:paraId="0DC2F529" w14:textId="77777777" w:rsidTr="001B2E26">
        <w:tc>
          <w:tcPr>
            <w:tcW w:w="8296" w:type="dxa"/>
            <w:gridSpan w:val="4"/>
            <w:shd w:val="clear" w:color="auto" w:fill="DEEAF6" w:themeFill="accent1" w:themeFillTint="33"/>
            <w:vAlign w:val="center"/>
          </w:tcPr>
          <w:p w14:paraId="4C8B0EC8" w14:textId="4024439F" w:rsidR="001B2E26" w:rsidRPr="001B2E26" w:rsidRDefault="001B2E26" w:rsidP="001B2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B2E2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Aizķeres un to stiprinājumi:</w:t>
            </w:r>
          </w:p>
        </w:tc>
      </w:tr>
      <w:tr w:rsidR="00831316" w:rsidRPr="002035F0" w14:paraId="6A70510F" w14:textId="77777777" w:rsidTr="00831316">
        <w:tc>
          <w:tcPr>
            <w:tcW w:w="704" w:type="dxa"/>
            <w:shd w:val="clear" w:color="auto" w:fill="auto"/>
            <w:vAlign w:val="center"/>
          </w:tcPr>
          <w:p w14:paraId="15DA3AA6" w14:textId="6F2274D7" w:rsidR="00831316" w:rsidRDefault="00A96A87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008AF5E" w14:textId="773DE3A4" w:rsidR="00831316" w:rsidRPr="004863F8" w:rsidRDefault="004863F8" w:rsidP="008313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6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Kāpšanas sienai jābūt aprīkotai ar kāpšanas aizķerēm dažādos izmēros un formās, kā arī reljefa elementiem, pietiekamā daudzumā, lai nodrošinātu </w:t>
            </w:r>
            <w:r w:rsidRPr="006D4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vismaz</w:t>
            </w:r>
            <w:r w:rsidR="00C54779" w:rsidRPr="006D4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vienu </w:t>
            </w:r>
            <w:r w:rsidRPr="00486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pilnvērtīgu kāpšanas </w:t>
            </w:r>
            <w:r w:rsidR="008528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zonu, </w:t>
            </w:r>
            <w:r w:rsidR="0085283C" w:rsidRPr="008528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kurā izveidoti</w:t>
            </w:r>
            <w:r w:rsidR="008528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283C" w:rsidRPr="008528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vizuāli atšķirami (krāsu kodēti) kāpšanas maršruti</w:t>
            </w:r>
            <w:r w:rsidRPr="008528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65" w:type="dxa"/>
            <w:shd w:val="clear" w:color="auto" w:fill="auto"/>
          </w:tcPr>
          <w:p w14:paraId="183CAAC7" w14:textId="11F8F84D" w:rsidR="00831316" w:rsidRPr="003D3598" w:rsidRDefault="00831316" w:rsidP="003D35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63F8" w:rsidRPr="002035F0" w14:paraId="432AA30C" w14:textId="77777777" w:rsidTr="00831316">
        <w:tc>
          <w:tcPr>
            <w:tcW w:w="704" w:type="dxa"/>
            <w:shd w:val="clear" w:color="auto" w:fill="auto"/>
            <w:vAlign w:val="center"/>
          </w:tcPr>
          <w:p w14:paraId="295A975C" w14:textId="138A9373" w:rsidR="004863F8" w:rsidRDefault="00A96A87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36D6C0E" w14:textId="4D26A7E2" w:rsidR="004863F8" w:rsidRPr="004863F8" w:rsidRDefault="004863F8" w:rsidP="008313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63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Aizķeru stiprinājuma punkti, vītņotie ieliktņi un skrūves jāparedz tā, lai tie droši izturētu kāpēja statiskās un dinamiskās slodzes ekspluatācijas laikā.</w:t>
            </w:r>
          </w:p>
        </w:tc>
        <w:tc>
          <w:tcPr>
            <w:tcW w:w="3765" w:type="dxa"/>
            <w:shd w:val="clear" w:color="auto" w:fill="auto"/>
          </w:tcPr>
          <w:p w14:paraId="67D72170" w14:textId="4A30B959" w:rsidR="004863F8" w:rsidRPr="004863F8" w:rsidRDefault="004863F8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2E26" w:rsidRPr="002035F0" w14:paraId="2F20ED7E" w14:textId="77777777" w:rsidTr="001B2E26">
        <w:tc>
          <w:tcPr>
            <w:tcW w:w="8296" w:type="dxa"/>
            <w:gridSpan w:val="4"/>
            <w:shd w:val="clear" w:color="auto" w:fill="DEEAF6" w:themeFill="accent1" w:themeFillTint="33"/>
            <w:vAlign w:val="center"/>
          </w:tcPr>
          <w:p w14:paraId="5DD42875" w14:textId="1FE36D4F" w:rsidR="001B2E26" w:rsidRPr="001B2E26" w:rsidRDefault="001B2E26" w:rsidP="001B2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B2E2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Kāpšanas maršruti un drošināšana:</w:t>
            </w:r>
          </w:p>
        </w:tc>
      </w:tr>
      <w:tr w:rsidR="004863F8" w:rsidRPr="002035F0" w14:paraId="665FBA45" w14:textId="77777777" w:rsidTr="00831316">
        <w:tc>
          <w:tcPr>
            <w:tcW w:w="704" w:type="dxa"/>
            <w:shd w:val="clear" w:color="auto" w:fill="auto"/>
            <w:vAlign w:val="center"/>
          </w:tcPr>
          <w:p w14:paraId="7865F6C1" w14:textId="0E399026" w:rsidR="004863F8" w:rsidRDefault="00A96A87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AB849A3" w14:textId="7408680A" w:rsidR="004863F8" w:rsidRPr="000933B2" w:rsidRDefault="000933B2" w:rsidP="008313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33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Kāpšanas maršrutam jāparedz individuāls augšējās drošināšanas punkts, kura izvietojums nosakāms atbilstoši maršru</w:t>
            </w:r>
            <w:r w:rsidR="006D4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tam</w:t>
            </w:r>
            <w:r w:rsidR="00A96A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65" w:type="dxa"/>
            <w:shd w:val="clear" w:color="auto" w:fill="auto"/>
          </w:tcPr>
          <w:p w14:paraId="0AEDF86A" w14:textId="1C37BAC2" w:rsidR="004863F8" w:rsidRPr="004863F8" w:rsidRDefault="004863F8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933B2" w:rsidRPr="002035F0" w14:paraId="1537CC04" w14:textId="77777777" w:rsidTr="006B2D33">
        <w:tc>
          <w:tcPr>
            <w:tcW w:w="8296" w:type="dxa"/>
            <w:gridSpan w:val="4"/>
            <w:shd w:val="clear" w:color="auto" w:fill="DEEAF6" w:themeFill="accent1" w:themeFillTint="33"/>
            <w:vAlign w:val="center"/>
          </w:tcPr>
          <w:p w14:paraId="207074A6" w14:textId="3B09459D" w:rsidR="000933B2" w:rsidRPr="000933B2" w:rsidRDefault="000933B2" w:rsidP="000933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933B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Drošības standarti:</w:t>
            </w:r>
          </w:p>
        </w:tc>
      </w:tr>
      <w:tr w:rsidR="004863F8" w:rsidRPr="002035F0" w14:paraId="5A9E9BAF" w14:textId="77777777" w:rsidTr="00831316">
        <w:tc>
          <w:tcPr>
            <w:tcW w:w="704" w:type="dxa"/>
            <w:shd w:val="clear" w:color="auto" w:fill="auto"/>
            <w:vAlign w:val="center"/>
          </w:tcPr>
          <w:p w14:paraId="65355587" w14:textId="07C1DBB8" w:rsidR="004863F8" w:rsidRDefault="00A96A87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1F0099" w14:textId="62AE6A55" w:rsidR="004863F8" w:rsidRPr="004863F8" w:rsidRDefault="000933B2" w:rsidP="008313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78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Kāpšanas sienai, tās konstrukcijai, paneļiem, aizķerēm, stiprinājumiem un drošināšanas elementiem jāatbilst LVS EN 12572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vai ekvivalenta standarta</w:t>
            </w:r>
            <w:r w:rsidRPr="00B578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prasībām.</w:t>
            </w:r>
          </w:p>
        </w:tc>
        <w:tc>
          <w:tcPr>
            <w:tcW w:w="3765" w:type="dxa"/>
            <w:shd w:val="clear" w:color="auto" w:fill="auto"/>
          </w:tcPr>
          <w:p w14:paraId="2266BE48" w14:textId="3713E060" w:rsidR="004863F8" w:rsidRPr="004863F8" w:rsidRDefault="004863F8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0299E" w:rsidRPr="002035F0" w14:paraId="4D3FDF32" w14:textId="77777777" w:rsidTr="0010299E">
        <w:tc>
          <w:tcPr>
            <w:tcW w:w="8296" w:type="dxa"/>
            <w:gridSpan w:val="4"/>
            <w:shd w:val="clear" w:color="auto" w:fill="DEEAF6" w:themeFill="accent1" w:themeFillTint="33"/>
            <w:vAlign w:val="center"/>
          </w:tcPr>
          <w:p w14:paraId="495B43AB" w14:textId="216AA5EA" w:rsidR="0010299E" w:rsidRPr="0010299E" w:rsidRDefault="0010299E" w:rsidP="001029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0299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Pārējās prasības:</w:t>
            </w:r>
          </w:p>
        </w:tc>
      </w:tr>
      <w:tr w:rsidR="00434BCE" w:rsidRPr="002035F0" w14:paraId="276B4534" w14:textId="77777777" w:rsidTr="00831316">
        <w:tc>
          <w:tcPr>
            <w:tcW w:w="704" w:type="dxa"/>
            <w:shd w:val="clear" w:color="auto" w:fill="auto"/>
            <w:vAlign w:val="center"/>
          </w:tcPr>
          <w:p w14:paraId="46FC6C2C" w14:textId="4FC4EE10" w:rsidR="00434BCE" w:rsidRDefault="00A96A87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CCEB6F7" w14:textId="0B49F87B" w:rsidR="00434BCE" w:rsidRPr="00B5788B" w:rsidRDefault="006D4D3C" w:rsidP="008313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57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Kāpšanas sienas konstrukcija jāparedz demontējama, nodrošinot iespēju to noņemt, nesabojājot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Objektu </w:t>
            </w:r>
            <w:r w:rsidRPr="003457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 saglabājot konstrukcijas elementu atkārtotas uzstādīšanas iespēju.</w:t>
            </w:r>
          </w:p>
        </w:tc>
        <w:tc>
          <w:tcPr>
            <w:tcW w:w="3765" w:type="dxa"/>
            <w:shd w:val="clear" w:color="auto" w:fill="auto"/>
          </w:tcPr>
          <w:p w14:paraId="014DF98D" w14:textId="1C52FF2B" w:rsidR="00FD020D" w:rsidRPr="004863F8" w:rsidRDefault="00FD020D" w:rsidP="00FD0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D4D3C" w:rsidRPr="002035F0" w14:paraId="2522FC0D" w14:textId="77777777" w:rsidTr="00831316">
        <w:tc>
          <w:tcPr>
            <w:tcW w:w="704" w:type="dxa"/>
            <w:shd w:val="clear" w:color="auto" w:fill="auto"/>
            <w:vAlign w:val="center"/>
          </w:tcPr>
          <w:p w14:paraId="751CC683" w14:textId="08BDB8E4" w:rsidR="006D4D3C" w:rsidRDefault="006D4D3C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BF87723" w14:textId="0C8F293F" w:rsidR="006D4D3C" w:rsidRPr="00434BCE" w:rsidRDefault="006D4D3C" w:rsidP="008313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Kāpšanas sienas piekļ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Pr="004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ves zonā jānodrošina kritiena drošībai atbilstoši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(pārvietojami)</w:t>
            </w:r>
            <w:r w:rsidRPr="004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risinājumi.</w:t>
            </w:r>
          </w:p>
        </w:tc>
        <w:tc>
          <w:tcPr>
            <w:tcW w:w="3765" w:type="dxa"/>
            <w:shd w:val="clear" w:color="auto" w:fill="auto"/>
          </w:tcPr>
          <w:p w14:paraId="35FF7B1E" w14:textId="77777777" w:rsidR="006D4D3C" w:rsidRPr="004863F8" w:rsidRDefault="006D4D3C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1316" w:rsidRPr="002035F0" w14:paraId="147D0F9F" w14:textId="77777777" w:rsidTr="00831316">
        <w:tc>
          <w:tcPr>
            <w:tcW w:w="704" w:type="dxa"/>
            <w:shd w:val="clear" w:color="auto" w:fill="auto"/>
            <w:vAlign w:val="center"/>
          </w:tcPr>
          <w:p w14:paraId="009F1152" w14:textId="59C7FA85" w:rsidR="00831316" w:rsidRDefault="006D4D3C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16836C6" w14:textId="21198D2F" w:rsidR="00831316" w:rsidRPr="0087481E" w:rsidRDefault="00790C03" w:rsidP="008313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0C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Visām kāpšanas sienas konstrukcijas sastāvdaļām, elementiem un aprīkojumam jābūt jauniem</w:t>
            </w:r>
            <w:r w:rsidR="00B73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un</w:t>
            </w:r>
            <w:r w:rsidRPr="00790C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nelietotiem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65" w:type="dxa"/>
            <w:shd w:val="clear" w:color="auto" w:fill="auto"/>
          </w:tcPr>
          <w:p w14:paraId="460A4EC7" w14:textId="088EDAB7" w:rsidR="00831316" w:rsidRPr="002035F0" w:rsidRDefault="00831316" w:rsidP="008313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5283C" w:rsidRPr="002035F0" w14:paraId="06A6298C" w14:textId="77777777" w:rsidTr="00831316">
        <w:tc>
          <w:tcPr>
            <w:tcW w:w="704" w:type="dxa"/>
            <w:shd w:val="clear" w:color="auto" w:fill="auto"/>
            <w:vAlign w:val="center"/>
          </w:tcPr>
          <w:p w14:paraId="582D4DA9" w14:textId="39ACC899" w:rsidR="0085283C" w:rsidRDefault="00B73F68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D093DD6" w14:textId="47D80953" w:rsidR="0085283C" w:rsidRPr="00790C03" w:rsidRDefault="0085283C" w:rsidP="008313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Pretendents nodrošina</w:t>
            </w:r>
            <w:r w:rsidRPr="008528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kāpšanas sienas ekspluatācijas un drošības instrukcij</w:t>
            </w:r>
            <w:r w:rsidR="00B73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 latviešu valodā</w:t>
            </w:r>
            <w:r w:rsidRPr="008528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kurā </w:t>
            </w:r>
            <w:r w:rsidRPr="008528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noteikti drošas lietošanas nosacījumi, kārtība un ierobežojumi.</w:t>
            </w:r>
          </w:p>
        </w:tc>
        <w:tc>
          <w:tcPr>
            <w:tcW w:w="3765" w:type="dxa"/>
            <w:shd w:val="clear" w:color="auto" w:fill="auto"/>
          </w:tcPr>
          <w:p w14:paraId="469614BB" w14:textId="77777777" w:rsidR="0085283C" w:rsidRPr="002035F0" w:rsidRDefault="0085283C" w:rsidP="008313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926C5" w:rsidRPr="002035F0" w14:paraId="4C5B2F91" w14:textId="77777777" w:rsidTr="00831316">
        <w:tc>
          <w:tcPr>
            <w:tcW w:w="704" w:type="dxa"/>
            <w:shd w:val="clear" w:color="auto" w:fill="auto"/>
            <w:vAlign w:val="center"/>
          </w:tcPr>
          <w:p w14:paraId="0D9BBE3F" w14:textId="79325FFF" w:rsidR="004926C5" w:rsidRDefault="00B73F68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ADE2F62" w14:textId="1808B291" w:rsidR="004926C5" w:rsidRPr="00ED0745" w:rsidRDefault="00790C03" w:rsidP="008313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33B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</w:t>
            </w:r>
            <w:r w:rsidR="004926C5" w:rsidRPr="000933B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arantija</w:t>
            </w:r>
            <w:r w:rsidRPr="000933B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4926C5" w:rsidRPr="004926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78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 kā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26C5" w:rsidRPr="004926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 mēneši no pakalpojuma veikšanas brīža.</w:t>
            </w:r>
          </w:p>
        </w:tc>
        <w:tc>
          <w:tcPr>
            <w:tcW w:w="3765" w:type="dxa"/>
            <w:shd w:val="clear" w:color="auto" w:fill="auto"/>
          </w:tcPr>
          <w:p w14:paraId="28CC9ACB" w14:textId="77777777" w:rsidR="004926C5" w:rsidRPr="002035F0" w:rsidRDefault="004926C5" w:rsidP="008313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1316" w:rsidRPr="002035F0" w14:paraId="7C4B9704" w14:textId="77777777" w:rsidTr="00831316">
        <w:trPr>
          <w:trHeight w:val="131"/>
        </w:trPr>
        <w:tc>
          <w:tcPr>
            <w:tcW w:w="704" w:type="dxa"/>
            <w:shd w:val="clear" w:color="auto" w:fill="FFFFFF" w:themeFill="background1"/>
            <w:vAlign w:val="center"/>
          </w:tcPr>
          <w:p w14:paraId="729BDEE9" w14:textId="1411EE06" w:rsidR="00831316" w:rsidRPr="002035F0" w:rsidRDefault="00B73F68" w:rsidP="00831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14:paraId="31DCBCB6" w14:textId="77777777" w:rsidR="004926C5" w:rsidRPr="000933B2" w:rsidRDefault="004926C5" w:rsidP="00492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0933B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Pakalpojuma veikšanas termiņš:</w:t>
            </w:r>
          </w:p>
          <w:p w14:paraId="60C39052" w14:textId="74DC0E65" w:rsidR="00831316" w:rsidRPr="00ED0745" w:rsidRDefault="004926C5" w:rsidP="004926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926C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ne ilgāk kā </w:t>
            </w:r>
            <w:r w:rsidR="00B5788B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  <w:r w:rsidRPr="004926C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B5788B">
              <w:rPr>
                <w:rFonts w:ascii="Times New Roman" w:eastAsia="Calibri" w:hAnsi="Times New Roman" w:cs="Times New Roman"/>
                <w:color w:val="000000"/>
                <w:sz w:val="24"/>
              </w:rPr>
              <w:t>dienu laikā no</w:t>
            </w:r>
            <w:r w:rsidRPr="004926C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pasūtījuma veikšanas dienas.</w:t>
            </w:r>
          </w:p>
        </w:tc>
        <w:tc>
          <w:tcPr>
            <w:tcW w:w="3765" w:type="dxa"/>
          </w:tcPr>
          <w:p w14:paraId="49848769" w14:textId="2D131119" w:rsidR="00831316" w:rsidRPr="002035F0" w:rsidRDefault="00831316" w:rsidP="008313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6A008DC" w14:textId="77777777" w:rsidR="0034572B" w:rsidRDefault="0034572B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77777777" w:rsidR="00A45CF4" w:rsidRPr="00602BBE" w:rsidRDefault="00A45CF4" w:rsidP="006553B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FEF2F1C" w14:textId="4EE155BF"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p w14:paraId="4B74E594" w14:textId="77777777" w:rsidR="006C0DB0" w:rsidRPr="00396B2F" w:rsidRDefault="006C0DB0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0933B2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0933B2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9" w:type="pct"/>
            <w:shd w:val="clear" w:color="auto" w:fill="FFFFFF" w:themeFill="background1"/>
          </w:tcPr>
          <w:p w14:paraId="0B453254" w14:textId="2A4114FE" w:rsidR="00A45CF4" w:rsidRPr="003717D2" w:rsidRDefault="000933B2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33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Klinšu kāpšanas sienas izveide</w:t>
            </w:r>
          </w:p>
        </w:tc>
        <w:tc>
          <w:tcPr>
            <w:tcW w:w="767" w:type="pct"/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718DA7E8" w14:textId="2E1DB7BF" w:rsidR="005D626C" w:rsidRPr="00304598" w:rsidRDefault="000933B2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pct"/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3D94" w:rsidRPr="00602BBE" w14:paraId="547E86FF" w14:textId="77777777" w:rsidTr="000933B2">
        <w:tc>
          <w:tcPr>
            <w:tcW w:w="536" w:type="pct"/>
            <w:shd w:val="clear" w:color="auto" w:fill="FFFFFF" w:themeFill="background1"/>
            <w:vAlign w:val="center"/>
          </w:tcPr>
          <w:p w14:paraId="5BD3B2ED" w14:textId="4A8DA8C9" w:rsidR="001E3D94" w:rsidRDefault="001E3D94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49" w:type="pct"/>
            <w:shd w:val="clear" w:color="auto" w:fill="FFFFFF" w:themeFill="background1"/>
          </w:tcPr>
          <w:p w14:paraId="63841499" w14:textId="140E26F3" w:rsidR="001E3D94" w:rsidRPr="000933B2" w:rsidRDefault="001E3D94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1E3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ārvietojam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1E3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kritiena drošības risinājum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 </w:t>
            </w:r>
            <w:r w:rsidRPr="001E3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(saskaņā ar tehniskās specifikācijas 10.punktu)</w:t>
            </w:r>
          </w:p>
        </w:tc>
        <w:tc>
          <w:tcPr>
            <w:tcW w:w="767" w:type="pct"/>
            <w:shd w:val="clear" w:color="auto" w:fill="FFFFFF" w:themeFill="background1"/>
          </w:tcPr>
          <w:p w14:paraId="5D171E00" w14:textId="77777777" w:rsidR="001E3D94" w:rsidRPr="00602BBE" w:rsidRDefault="001E3D9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5AE6DFD5" w14:textId="7DF8FDBB" w:rsidR="001E3D94" w:rsidRDefault="001E3D94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pct"/>
            <w:shd w:val="clear" w:color="auto" w:fill="FFFFFF" w:themeFill="background1"/>
          </w:tcPr>
          <w:p w14:paraId="6625D58E" w14:textId="77777777" w:rsidR="001E3D94" w:rsidRPr="00602BBE" w:rsidRDefault="001E3D9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0933B2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0933B2">
        <w:trPr>
          <w:trHeight w:val="287"/>
        </w:trPr>
        <w:tc>
          <w:tcPr>
            <w:tcW w:w="536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0933B2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09D1D91E" w14:textId="77777777" w:rsidR="004926C5" w:rsidRDefault="004926C5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79C2A8" w14:textId="77777777" w:rsidR="004926C5" w:rsidRDefault="004926C5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52830593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25BEECF7" w14:textId="77777777" w:rsidR="0010299E" w:rsidRDefault="0010299E"/>
    <w:p w14:paraId="1C47E7BF" w14:textId="77777777" w:rsidR="001B2A54" w:rsidRPr="0010299E" w:rsidRDefault="001B2A5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B2A54" w:rsidRPr="0010299E" w:rsidSect="00874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ECAE3" w14:textId="77777777" w:rsidR="00CE783E" w:rsidRDefault="00CE783E" w:rsidP="008028C8">
      <w:pPr>
        <w:spacing w:after="0" w:line="240" w:lineRule="auto"/>
      </w:pPr>
      <w:r>
        <w:separator/>
      </w:r>
    </w:p>
  </w:endnote>
  <w:endnote w:type="continuationSeparator" w:id="0">
    <w:p w14:paraId="52C40464" w14:textId="77777777" w:rsidR="00CE783E" w:rsidRDefault="00CE783E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082F4" w14:textId="77777777" w:rsidR="00CE783E" w:rsidRDefault="00CE783E" w:rsidP="008028C8">
      <w:pPr>
        <w:spacing w:after="0" w:line="240" w:lineRule="auto"/>
      </w:pPr>
      <w:r>
        <w:separator/>
      </w:r>
    </w:p>
  </w:footnote>
  <w:footnote w:type="continuationSeparator" w:id="0">
    <w:p w14:paraId="6F8A53D6" w14:textId="77777777" w:rsidR="00CE783E" w:rsidRDefault="00CE783E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0ED4"/>
    <w:rsid w:val="000014AC"/>
    <w:rsid w:val="00015946"/>
    <w:rsid w:val="0001769D"/>
    <w:rsid w:val="0004450F"/>
    <w:rsid w:val="000514F8"/>
    <w:rsid w:val="00053BA4"/>
    <w:rsid w:val="000576E6"/>
    <w:rsid w:val="00066B67"/>
    <w:rsid w:val="000727BD"/>
    <w:rsid w:val="00074B4A"/>
    <w:rsid w:val="00081FE2"/>
    <w:rsid w:val="00081FFD"/>
    <w:rsid w:val="00085ADD"/>
    <w:rsid w:val="0009105B"/>
    <w:rsid w:val="000933B2"/>
    <w:rsid w:val="00095ABE"/>
    <w:rsid w:val="000A55D7"/>
    <w:rsid w:val="000B1744"/>
    <w:rsid w:val="000C56CD"/>
    <w:rsid w:val="000C6783"/>
    <w:rsid w:val="000C68A5"/>
    <w:rsid w:val="000D30C5"/>
    <w:rsid w:val="000D576B"/>
    <w:rsid w:val="000E1A18"/>
    <w:rsid w:val="000E2C1F"/>
    <w:rsid w:val="000E513B"/>
    <w:rsid w:val="000F2027"/>
    <w:rsid w:val="000F4902"/>
    <w:rsid w:val="0010057F"/>
    <w:rsid w:val="00101E8A"/>
    <w:rsid w:val="0010299E"/>
    <w:rsid w:val="00106525"/>
    <w:rsid w:val="0011196A"/>
    <w:rsid w:val="00115739"/>
    <w:rsid w:val="001163B7"/>
    <w:rsid w:val="00120042"/>
    <w:rsid w:val="00131EAD"/>
    <w:rsid w:val="00150809"/>
    <w:rsid w:val="001534B3"/>
    <w:rsid w:val="0015623B"/>
    <w:rsid w:val="00182F4A"/>
    <w:rsid w:val="00193BF9"/>
    <w:rsid w:val="00196207"/>
    <w:rsid w:val="001A0BED"/>
    <w:rsid w:val="001A1039"/>
    <w:rsid w:val="001B2A54"/>
    <w:rsid w:val="001B2E26"/>
    <w:rsid w:val="001B56D9"/>
    <w:rsid w:val="001B572B"/>
    <w:rsid w:val="001B7EB3"/>
    <w:rsid w:val="001C0A36"/>
    <w:rsid w:val="001C1879"/>
    <w:rsid w:val="001C22AE"/>
    <w:rsid w:val="001C7A86"/>
    <w:rsid w:val="001C7E90"/>
    <w:rsid w:val="001D0F48"/>
    <w:rsid w:val="001D4FC5"/>
    <w:rsid w:val="001D7ADB"/>
    <w:rsid w:val="001E172A"/>
    <w:rsid w:val="001E3D94"/>
    <w:rsid w:val="001E7CA1"/>
    <w:rsid w:val="001E7DD2"/>
    <w:rsid w:val="001F391A"/>
    <w:rsid w:val="001F518D"/>
    <w:rsid w:val="002035F0"/>
    <w:rsid w:val="002072E3"/>
    <w:rsid w:val="002341D8"/>
    <w:rsid w:val="00247D92"/>
    <w:rsid w:val="00252E56"/>
    <w:rsid w:val="00253DA9"/>
    <w:rsid w:val="00257128"/>
    <w:rsid w:val="002573A0"/>
    <w:rsid w:val="00264797"/>
    <w:rsid w:val="00264FC6"/>
    <w:rsid w:val="002675CB"/>
    <w:rsid w:val="00270E50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59B9"/>
    <w:rsid w:val="002F6435"/>
    <w:rsid w:val="002F7524"/>
    <w:rsid w:val="00300FC5"/>
    <w:rsid w:val="00301F6E"/>
    <w:rsid w:val="00304598"/>
    <w:rsid w:val="003163F9"/>
    <w:rsid w:val="003164CA"/>
    <w:rsid w:val="0033689E"/>
    <w:rsid w:val="00340D74"/>
    <w:rsid w:val="0034572B"/>
    <w:rsid w:val="00346E4B"/>
    <w:rsid w:val="00350729"/>
    <w:rsid w:val="00353BD6"/>
    <w:rsid w:val="00353E5F"/>
    <w:rsid w:val="00367CE4"/>
    <w:rsid w:val="00373432"/>
    <w:rsid w:val="00374FC5"/>
    <w:rsid w:val="00377F48"/>
    <w:rsid w:val="00384A7D"/>
    <w:rsid w:val="0039649B"/>
    <w:rsid w:val="003B335B"/>
    <w:rsid w:val="003C7685"/>
    <w:rsid w:val="003D3598"/>
    <w:rsid w:val="003D4A14"/>
    <w:rsid w:val="003D5096"/>
    <w:rsid w:val="003E4306"/>
    <w:rsid w:val="003F1138"/>
    <w:rsid w:val="003F1BBA"/>
    <w:rsid w:val="004004CB"/>
    <w:rsid w:val="004030E7"/>
    <w:rsid w:val="00426CA5"/>
    <w:rsid w:val="00426D39"/>
    <w:rsid w:val="00434BCE"/>
    <w:rsid w:val="0046031C"/>
    <w:rsid w:val="00462C9A"/>
    <w:rsid w:val="00467C8F"/>
    <w:rsid w:val="00477FE2"/>
    <w:rsid w:val="00482135"/>
    <w:rsid w:val="004863F8"/>
    <w:rsid w:val="004869DA"/>
    <w:rsid w:val="004871FF"/>
    <w:rsid w:val="004926C5"/>
    <w:rsid w:val="0049629E"/>
    <w:rsid w:val="004A72BC"/>
    <w:rsid w:val="004C40A5"/>
    <w:rsid w:val="004F172C"/>
    <w:rsid w:val="004F4B9B"/>
    <w:rsid w:val="00505511"/>
    <w:rsid w:val="00505C05"/>
    <w:rsid w:val="00506A28"/>
    <w:rsid w:val="00513D61"/>
    <w:rsid w:val="005210EB"/>
    <w:rsid w:val="005351F3"/>
    <w:rsid w:val="0053707C"/>
    <w:rsid w:val="00542CDC"/>
    <w:rsid w:val="005463BC"/>
    <w:rsid w:val="00573E1B"/>
    <w:rsid w:val="005757B3"/>
    <w:rsid w:val="0058365B"/>
    <w:rsid w:val="00584775"/>
    <w:rsid w:val="00584889"/>
    <w:rsid w:val="00587C49"/>
    <w:rsid w:val="00590B4D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24C69"/>
    <w:rsid w:val="0063464F"/>
    <w:rsid w:val="00647D30"/>
    <w:rsid w:val="006553B0"/>
    <w:rsid w:val="00671ACC"/>
    <w:rsid w:val="00682728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4385"/>
    <w:rsid w:val="006D4D3C"/>
    <w:rsid w:val="006D5BED"/>
    <w:rsid w:val="006D682D"/>
    <w:rsid w:val="006D731C"/>
    <w:rsid w:val="006E1A0B"/>
    <w:rsid w:val="006E541B"/>
    <w:rsid w:val="006F2F9E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6131"/>
    <w:rsid w:val="00755EE6"/>
    <w:rsid w:val="00756DB7"/>
    <w:rsid w:val="007629C0"/>
    <w:rsid w:val="00766D44"/>
    <w:rsid w:val="00774600"/>
    <w:rsid w:val="00777087"/>
    <w:rsid w:val="00790C03"/>
    <w:rsid w:val="007B30F4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1316"/>
    <w:rsid w:val="00832F49"/>
    <w:rsid w:val="008354D8"/>
    <w:rsid w:val="00835AF5"/>
    <w:rsid w:val="00842A61"/>
    <w:rsid w:val="00845B08"/>
    <w:rsid w:val="00851BFB"/>
    <w:rsid w:val="0085283C"/>
    <w:rsid w:val="00857CE1"/>
    <w:rsid w:val="0086150A"/>
    <w:rsid w:val="00864C34"/>
    <w:rsid w:val="0087481E"/>
    <w:rsid w:val="00882A9C"/>
    <w:rsid w:val="008903BC"/>
    <w:rsid w:val="00894AB9"/>
    <w:rsid w:val="008A763E"/>
    <w:rsid w:val="008B3B79"/>
    <w:rsid w:val="008D6459"/>
    <w:rsid w:val="008D6474"/>
    <w:rsid w:val="008E0E6D"/>
    <w:rsid w:val="008E2357"/>
    <w:rsid w:val="008E37AB"/>
    <w:rsid w:val="008F2655"/>
    <w:rsid w:val="008F3778"/>
    <w:rsid w:val="008F4363"/>
    <w:rsid w:val="008F5A68"/>
    <w:rsid w:val="00907C1C"/>
    <w:rsid w:val="009246A3"/>
    <w:rsid w:val="009348F6"/>
    <w:rsid w:val="009368AE"/>
    <w:rsid w:val="00941C5D"/>
    <w:rsid w:val="009470A8"/>
    <w:rsid w:val="00957B31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E1D90"/>
    <w:rsid w:val="009E63CA"/>
    <w:rsid w:val="00A004F3"/>
    <w:rsid w:val="00A120C3"/>
    <w:rsid w:val="00A134B5"/>
    <w:rsid w:val="00A24332"/>
    <w:rsid w:val="00A35DD0"/>
    <w:rsid w:val="00A40CE7"/>
    <w:rsid w:val="00A45CF4"/>
    <w:rsid w:val="00A604BA"/>
    <w:rsid w:val="00A67465"/>
    <w:rsid w:val="00A70259"/>
    <w:rsid w:val="00A7713E"/>
    <w:rsid w:val="00A81CF8"/>
    <w:rsid w:val="00A85B76"/>
    <w:rsid w:val="00A96A87"/>
    <w:rsid w:val="00AA1C3F"/>
    <w:rsid w:val="00AB73CF"/>
    <w:rsid w:val="00AD023E"/>
    <w:rsid w:val="00AE3520"/>
    <w:rsid w:val="00B05C3F"/>
    <w:rsid w:val="00B27DF7"/>
    <w:rsid w:val="00B3791A"/>
    <w:rsid w:val="00B403AE"/>
    <w:rsid w:val="00B41748"/>
    <w:rsid w:val="00B46F78"/>
    <w:rsid w:val="00B47EA2"/>
    <w:rsid w:val="00B51CEE"/>
    <w:rsid w:val="00B54475"/>
    <w:rsid w:val="00B54D0F"/>
    <w:rsid w:val="00B5788B"/>
    <w:rsid w:val="00B61F66"/>
    <w:rsid w:val="00B653AE"/>
    <w:rsid w:val="00B73F68"/>
    <w:rsid w:val="00B75FC6"/>
    <w:rsid w:val="00B810E9"/>
    <w:rsid w:val="00B843C1"/>
    <w:rsid w:val="00BA0454"/>
    <w:rsid w:val="00BA1FAE"/>
    <w:rsid w:val="00BB47D7"/>
    <w:rsid w:val="00BD080A"/>
    <w:rsid w:val="00BD5B62"/>
    <w:rsid w:val="00BD621B"/>
    <w:rsid w:val="00BD62EE"/>
    <w:rsid w:val="00BE0683"/>
    <w:rsid w:val="00BE70F9"/>
    <w:rsid w:val="00BE79E9"/>
    <w:rsid w:val="00BF0D7D"/>
    <w:rsid w:val="00BF36F7"/>
    <w:rsid w:val="00BF5A4D"/>
    <w:rsid w:val="00BF7043"/>
    <w:rsid w:val="00C02A07"/>
    <w:rsid w:val="00C104D8"/>
    <w:rsid w:val="00C1134F"/>
    <w:rsid w:val="00C14EBA"/>
    <w:rsid w:val="00C2052C"/>
    <w:rsid w:val="00C32A4D"/>
    <w:rsid w:val="00C33BE1"/>
    <w:rsid w:val="00C52760"/>
    <w:rsid w:val="00C53C85"/>
    <w:rsid w:val="00C54779"/>
    <w:rsid w:val="00C56EAC"/>
    <w:rsid w:val="00C60AC7"/>
    <w:rsid w:val="00C66FFB"/>
    <w:rsid w:val="00C72FE5"/>
    <w:rsid w:val="00C74963"/>
    <w:rsid w:val="00C824A2"/>
    <w:rsid w:val="00C9105A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E783E"/>
    <w:rsid w:val="00CF2308"/>
    <w:rsid w:val="00D01281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85746"/>
    <w:rsid w:val="00DA5A4F"/>
    <w:rsid w:val="00DD6322"/>
    <w:rsid w:val="00DE563E"/>
    <w:rsid w:val="00E00F94"/>
    <w:rsid w:val="00E01C0C"/>
    <w:rsid w:val="00E06C41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1417"/>
    <w:rsid w:val="00F00EBD"/>
    <w:rsid w:val="00F02123"/>
    <w:rsid w:val="00F07D2F"/>
    <w:rsid w:val="00F15B22"/>
    <w:rsid w:val="00F1622E"/>
    <w:rsid w:val="00F2239F"/>
    <w:rsid w:val="00F2250F"/>
    <w:rsid w:val="00F24D10"/>
    <w:rsid w:val="00F31434"/>
    <w:rsid w:val="00F33B99"/>
    <w:rsid w:val="00F33C5B"/>
    <w:rsid w:val="00F40E12"/>
    <w:rsid w:val="00F43E2B"/>
    <w:rsid w:val="00F60FEE"/>
    <w:rsid w:val="00F647FD"/>
    <w:rsid w:val="00F65B5D"/>
    <w:rsid w:val="00F703E7"/>
    <w:rsid w:val="00F70A34"/>
    <w:rsid w:val="00F71260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C4E74"/>
    <w:rsid w:val="00FD020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5C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  <w:style w:type="character" w:styleId="Izteiksmgs">
    <w:name w:val="Strong"/>
    <w:basedOn w:val="Noklusjumarindkopasfonts"/>
    <w:uiPriority w:val="22"/>
    <w:qFormat/>
    <w:rsid w:val="00102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08AA-B32D-42EC-8257-F544CB1B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2585</Words>
  <Characters>1474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24</cp:revision>
  <dcterms:created xsi:type="dcterms:W3CDTF">2024-11-21T14:32:00Z</dcterms:created>
  <dcterms:modified xsi:type="dcterms:W3CDTF">2026-01-28T17:45:00Z</dcterms:modified>
</cp:coreProperties>
</file>