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Pr="00880B0B" w:rsidRDefault="0091070B" w:rsidP="00576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Pr="00880B0B" w:rsidRDefault="0091070B" w:rsidP="001A2CAF">
            <w:pPr>
              <w:jc w:val="center"/>
              <w:rPr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880B0B" w:rsidRPr="00880B0B" w:rsidRDefault="00880B0B" w:rsidP="00910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070B" w:rsidRDefault="0091070B" w:rsidP="00F70AB6">
      <w:pPr>
        <w:spacing w:after="0"/>
        <w:jc w:val="center"/>
      </w:pPr>
    </w:p>
    <w:p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</w:t>
      </w:r>
      <w:bookmarkStart w:id="0" w:name="_GoBack"/>
      <w:bookmarkEnd w:id="0"/>
      <w:r w:rsidRPr="005D1B2B">
        <w:rPr>
          <w:rFonts w:ascii="Times New Roman" w:hAnsi="Times New Roman" w:cs="Times New Roman"/>
          <w:sz w:val="28"/>
          <w:szCs w:val="28"/>
        </w:rPr>
        <w:t>NISKĀ SPECIFIKĀCIJA UN TEHNISKAIS PIEDĀVĀJUMS</w:t>
      </w:r>
    </w:p>
    <w:p w:rsidR="00BD3594" w:rsidRPr="00700A1D" w:rsidRDefault="00BD3594" w:rsidP="00144A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1"/>
      </w:tblGrid>
      <w:tr w:rsidR="00994E62" w:rsidRPr="00F21D07" w:rsidTr="009B4775">
        <w:tc>
          <w:tcPr>
            <w:tcW w:w="846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N.p.k.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201" w:type="dxa"/>
            <w:shd w:val="clear" w:color="auto" w:fill="F4B083" w:themeFill="accent2" w:themeFillTint="99"/>
          </w:tcPr>
          <w:p w:rsidR="00003DD2" w:rsidRPr="00F21D07" w:rsidRDefault="00003DD2" w:rsidP="00896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</w:t>
            </w:r>
            <w:r w:rsidR="00896D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atbilst/neatbilst</w:t>
            </w: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D3594" w:rsidRPr="00F21D07" w:rsidTr="00BD3594">
        <w:tc>
          <w:tcPr>
            <w:tcW w:w="9016" w:type="dxa"/>
            <w:gridSpan w:val="3"/>
            <w:shd w:val="clear" w:color="auto" w:fill="auto"/>
          </w:tcPr>
          <w:p w:rsidR="00BD3594" w:rsidRPr="00F21D07" w:rsidRDefault="003D0298" w:rsidP="00C574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Norises vietas </w:t>
            </w:r>
            <w:r w:rsidR="00BD3594"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 </w:t>
            </w:r>
            <w:r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aprīkojuma prasību nodrošinājums Valsts ugunsdzēsības un glābšanas dienesta (VUGD) </w:t>
            </w:r>
            <w:r w:rsidR="00C57418"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emināram </w:t>
            </w:r>
            <w:r w:rsidR="00144A81"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57418"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44A81"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C57418"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44A81"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57418"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>janvār</w:t>
            </w:r>
            <w:r w:rsidR="00144A81" w:rsidRPr="00C57418">
              <w:rPr>
                <w:rFonts w:ascii="Times New Roman" w:hAnsi="Times New Roman" w:cs="Times New Roman"/>
                <w:b/>
                <w:sz w:val="24"/>
                <w:szCs w:val="24"/>
              </w:rPr>
              <w:t>ī</w:t>
            </w:r>
          </w:p>
        </w:tc>
      </w:tr>
      <w:tr w:rsidR="00994E6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003DD2" w:rsidRPr="00003DD2" w:rsidRDefault="00003DD2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83F97" w:rsidRPr="00003DD2" w:rsidRDefault="003D0298" w:rsidP="00F271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Pasākuma norises vieta tiek nodrošināta no </w:t>
            </w:r>
            <w:r w:rsidRPr="0054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C574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54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gada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74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54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C574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janvāra</w:t>
            </w:r>
            <w:r w:rsidRPr="0054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plkst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08.00 – 17.00, tajā skaitā, tehniskais laiks plkst. 8.00-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 un plkst. 17.00-18.00.</w:t>
            </w:r>
          </w:p>
        </w:tc>
        <w:tc>
          <w:tcPr>
            <w:tcW w:w="4201" w:type="dxa"/>
            <w:shd w:val="clear" w:color="auto" w:fill="auto"/>
          </w:tcPr>
          <w:p w:rsidR="005A1BB6" w:rsidRDefault="005A1BB6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003DD2" w:rsidRDefault="00003DD2" w:rsidP="001A2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2716F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F2716F" w:rsidRPr="00003DD2" w:rsidRDefault="00F2716F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F2716F" w:rsidRDefault="00F2716F" w:rsidP="00F271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Pasākuma norises vieta atrodas Rīgas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valstpilsētas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administratīvajā teritorijā.</w:t>
            </w:r>
          </w:p>
        </w:tc>
        <w:tc>
          <w:tcPr>
            <w:tcW w:w="4201" w:type="dxa"/>
            <w:shd w:val="clear" w:color="auto" w:fill="auto"/>
          </w:tcPr>
          <w:p w:rsidR="00F2716F" w:rsidRDefault="00F2716F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994E6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BC1D54" w:rsidRPr="00003DD2" w:rsidRDefault="00BC1D54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3D0298" w:rsidRDefault="003D0298" w:rsidP="00EA7B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Pasākuma norises vietā pretendents nodrošina: </w:t>
            </w:r>
          </w:p>
          <w:p w:rsidR="00CF7343" w:rsidRDefault="003D0298" w:rsidP="00CF734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Telpu 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semināram, kas nodrošināta ar: </w:t>
            </w:r>
          </w:p>
          <w:p w:rsidR="00CF7343" w:rsidRDefault="003D0298" w:rsidP="00CF7343">
            <w:pPr>
              <w:pStyle w:val="ListParagraph"/>
              <w:numPr>
                <w:ilvl w:val="1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4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P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sēdvietām teātra formā, </w:t>
            </w:r>
          </w:p>
          <w:p w:rsidR="00CF7343" w:rsidRDefault="00144A81" w:rsidP="00CF7343">
            <w:pPr>
              <w:pStyle w:val="ListParagraph"/>
              <w:numPr>
                <w:ilvl w:val="1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prezidija </w:t>
            </w:r>
            <w:r w:rsidR="003D0298" w:rsidRP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galdu ar četrām sēdvietām</w:t>
            </w:r>
          </w:p>
          <w:p w:rsidR="004D6FA7" w:rsidRPr="00CF7343" w:rsidRDefault="00CF7343" w:rsidP="00CF7343">
            <w:pPr>
              <w:pStyle w:val="ListParagraph"/>
              <w:numPr>
                <w:ilvl w:val="1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pulti</w:t>
            </w:r>
            <w:r w:rsidR="003D0298" w:rsidRP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runātājam.</w:t>
            </w:r>
          </w:p>
          <w:p w:rsidR="003D0298" w:rsidRDefault="00F2716F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Atsevišķu t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elpu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 piln</w:t>
            </w:r>
            <w:r w:rsidR="00F4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bā norobežotu semināra telpas daļu 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ēdināšanas paka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lpojuma sniegšanai ar nepieciešamo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galdu skaitu ēdiena izvietošanai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(galdu skaits tiek saskaņots ar ēdināšanas pakalpojuma sniedzēju)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stāvgaldiem</w:t>
            </w:r>
            <w:proofErr w:type="spellEnd"/>
            <w:r w:rsidR="00C57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(ne mazāk par 20 </w:t>
            </w:r>
            <w:proofErr w:type="spellStart"/>
            <w:r w:rsidR="00C57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stāvgaldiem</w:t>
            </w:r>
            <w:proofErr w:type="spellEnd"/>
            <w:r w:rsidR="00C57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D0298" w:rsidRDefault="003D0298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Telpu vai vietu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kā arī statīvus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virsdrēbju novietošanai.</w:t>
            </w:r>
          </w:p>
          <w:p w:rsidR="003D0298" w:rsidRDefault="003D0298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Stāvvietas  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iespējas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vieglajām automašīnām.</w:t>
            </w:r>
          </w:p>
          <w:p w:rsidR="003D0298" w:rsidRDefault="003D0298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Labierīcības. </w:t>
            </w:r>
          </w:p>
          <w:p w:rsidR="003D0298" w:rsidRPr="004D6FA7" w:rsidRDefault="003D0298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Tehnisko telpu ēdināšanas pakalpojuma sniedzējiem.</w:t>
            </w:r>
          </w:p>
        </w:tc>
        <w:tc>
          <w:tcPr>
            <w:tcW w:w="4201" w:type="dxa"/>
            <w:shd w:val="clear" w:color="auto" w:fill="auto"/>
          </w:tcPr>
          <w:p w:rsidR="005A1BB6" w:rsidRDefault="005A1BB6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C1D54" w:rsidRPr="005B20E9" w:rsidRDefault="00BC1D54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D6FA7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4D6FA7" w:rsidRPr="00003DD2" w:rsidRDefault="004D6FA7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3D0298" w:rsidRDefault="003D0298" w:rsidP="00896D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vietā pretendents nod</w:t>
            </w:r>
            <w:r w:rsidR="00144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rošina nepieciešamo aprīkojumu </w:t>
            </w:r>
            <w:r w:rsidR="00144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pasākuma apskaņošanai, 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projicēšanai</w:t>
            </w:r>
            <w:r w:rsidR="00144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pārraidīšanai tiešsaistē, tajā skaitā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D6FA7" w:rsidRDefault="00144A81" w:rsidP="003D029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Trīs mikrofonus</w:t>
            </w:r>
          </w:p>
          <w:p w:rsidR="00144A81" w:rsidRDefault="00144A81" w:rsidP="003D029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Skaļruņus</w:t>
            </w:r>
          </w:p>
          <w:p w:rsidR="00144A81" w:rsidRDefault="00144A81" w:rsidP="003D029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Projektoru ar ekrānu (ja tas nepieciešams).</w:t>
            </w:r>
          </w:p>
          <w:p w:rsidR="00144A81" w:rsidRDefault="00144A81" w:rsidP="003D029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 visu pārējo aprīkojumu, 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piemēram, ekrānus zālē,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 nepieciešams kvalitatīvai pasākuma apskaņošanai, materiāl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projicēšanai un pārraidīšanai tiešsaistē. </w:t>
            </w:r>
          </w:p>
          <w:p w:rsidR="00144A81" w:rsidRDefault="00144A81" w:rsidP="00144A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4A81" w:rsidRPr="00144A81" w:rsidRDefault="00144A81" w:rsidP="00CF734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Tiešsaistes pārraidīšana notiks platformā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Webex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pasūtītājs nodrošin</w:t>
            </w:r>
            <w:r w:rsidR="00CF73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 piekļuvi un saites izveidi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201" w:type="dxa"/>
            <w:shd w:val="clear" w:color="auto" w:fill="auto"/>
          </w:tcPr>
          <w:p w:rsidR="004D6FA7" w:rsidRDefault="004D6FA7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D6FA7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4D6FA7" w:rsidRPr="00003DD2" w:rsidRDefault="004D6FA7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D6FA7" w:rsidRDefault="003D0298" w:rsidP="00EA7B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laikā Pretendenta piedāvātajā norises vietā nenotiek citi pasākumi, kas varētu traucēt Pasūtītāja pasākuma īstenošanu.</w:t>
            </w:r>
          </w:p>
        </w:tc>
        <w:tc>
          <w:tcPr>
            <w:tcW w:w="4201" w:type="dxa"/>
            <w:shd w:val="clear" w:color="auto" w:fill="auto"/>
          </w:tcPr>
          <w:p w:rsidR="004D6FA7" w:rsidRDefault="004D6FA7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9B4775" w:rsidRDefault="009B4775" w:rsidP="00CF734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775" w:rsidRDefault="009B4775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775" w:rsidRDefault="009B4775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A52" w:rsidRPr="00602BBE" w:rsidRDefault="006C3A52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6C3A52" w:rsidRPr="00602BBE" w:rsidRDefault="006C3A52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BBE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124"/>
        <w:gridCol w:w="2074"/>
      </w:tblGrid>
      <w:tr w:rsidR="00602BBE" w:rsidRPr="00602BBE" w:rsidTr="008B2AFC">
        <w:tc>
          <w:tcPr>
            <w:tcW w:w="3256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896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gab.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602BBE" w:rsidRDefault="00A4320A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602BBE" w:rsidRPr="00602BBE" w:rsidTr="00896DDE">
        <w:tc>
          <w:tcPr>
            <w:tcW w:w="3256" w:type="dxa"/>
          </w:tcPr>
          <w:p w:rsidR="006C3A52" w:rsidRPr="00602BBE" w:rsidRDefault="00CF7343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vietas nodrošinājums</w:t>
            </w:r>
          </w:p>
        </w:tc>
        <w:tc>
          <w:tcPr>
            <w:tcW w:w="1842" w:type="dxa"/>
          </w:tcPr>
          <w:p w:rsidR="006C3A52" w:rsidRPr="00602BBE" w:rsidRDefault="006C3A52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6C3A52" w:rsidRPr="00602BBE" w:rsidRDefault="00CF7343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6C3A52" w:rsidRPr="00602BBE" w:rsidRDefault="006C3A52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7343" w:rsidRPr="00602BBE" w:rsidTr="00896DDE">
        <w:tc>
          <w:tcPr>
            <w:tcW w:w="3256" w:type="dxa"/>
          </w:tcPr>
          <w:p w:rsidR="00CF7343" w:rsidRDefault="00CF7343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Aprīkojums pasākuma apskaņošanai, projicēšanai un tiešraides nodrošināšanai</w:t>
            </w:r>
          </w:p>
        </w:tc>
        <w:tc>
          <w:tcPr>
            <w:tcW w:w="1842" w:type="dxa"/>
          </w:tcPr>
          <w:p w:rsidR="00CF7343" w:rsidRPr="00602BBE" w:rsidRDefault="00CF7343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CF7343" w:rsidRDefault="00CF7343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CF7343" w:rsidRPr="00602BBE" w:rsidRDefault="00CF7343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D1B2B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5D1B2B" w:rsidRPr="00602BBE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880B0B" w:rsidRPr="00602BBE" w:rsidRDefault="00880B0B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C6926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  <w:tr w:rsidR="00602BBE" w:rsidRPr="00602BBE" w:rsidTr="005D1B2B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</w:tbl>
    <w:p w:rsidR="009A6D84" w:rsidRDefault="009A6D84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D1F" w:rsidRPr="00144A81" w:rsidRDefault="00FA2D1F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Apmaksa: Pēcapmaksas rēķins</w:t>
      </w:r>
      <w:r w:rsidR="003A5A1A"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4A81" w:rsidRP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Pasūtītājs var iesniegt apmaksas garantijas vēstuli vai sastādīt līgumu, ja tas ir nepieciešams.</w:t>
      </w:r>
    </w:p>
    <w:p w:rsidR="00371B0A" w:rsidRPr="00AF34C9" w:rsidRDefault="00371B0A" w:rsidP="006C3A5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1" w:name="_Hlk210815811"/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</w:t>
      </w:r>
      <w:r w:rsidR="00480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finanšu </w:t>
      </w: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piedāvājumu 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>līdz 202</w:t>
      </w:r>
      <w:r w:rsidR="00F45AC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C57418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3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18">
        <w:rPr>
          <w:rFonts w:ascii="Times New Roman" w:hAnsi="Times New Roman" w:cs="Times New Roman"/>
          <w:color w:val="000000" w:themeColor="text1"/>
          <w:sz w:val="24"/>
          <w:szCs w:val="24"/>
        </w:rPr>
        <w:t>novembra plkst. 12:00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 </w:t>
      </w:r>
      <w:hyperlink r:id="rId7" w:history="1">
        <w:r w:rsidR="00F45ACC" w:rsidRPr="00DD139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ineta.narodovska@vugd.gov.lv</w:t>
        </w:r>
      </w:hyperlink>
    </w:p>
    <w:p w:rsidR="00701C8F" w:rsidRPr="00AF34C9" w:rsidRDefault="00FF1A70" w:rsidP="00FF1A70">
      <w:pPr>
        <w:pStyle w:val="Footer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 pa</w:t>
      </w:r>
      <w:r w:rsidRPr="00AF34C9">
        <w:rPr>
          <w:rFonts w:ascii="Times New Roman" w:hAnsi="Times New Roman" w:cs="Times New Roman"/>
          <w:color w:val="000000" w:themeColor="text1"/>
        </w:rPr>
        <w:t xml:space="preserve"> </w:t>
      </w:r>
      <w:r w:rsidR="003A5A1A" w:rsidRPr="00AF34C9">
        <w:rPr>
          <w:rFonts w:ascii="Times New Roman" w:hAnsi="Times New Roman" w:cs="Times New Roman"/>
          <w:color w:val="000000" w:themeColor="text1"/>
        </w:rPr>
        <w:t>t</w:t>
      </w:r>
      <w:r w:rsidRPr="00AF34C9">
        <w:rPr>
          <w:rFonts w:ascii="Times New Roman" w:hAnsi="Times New Roman" w:cs="Times New Roman"/>
          <w:color w:val="000000" w:themeColor="text1"/>
        </w:rPr>
        <w:t>āl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runi. </w:t>
      </w:r>
      <w:r w:rsidR="00AF34C9" w:rsidRPr="00AF34C9">
        <w:rPr>
          <w:rFonts w:ascii="Times New Roman" w:hAnsi="Times New Roman" w:cs="Times New Roman"/>
          <w:color w:val="000000" w:themeColor="text1"/>
        </w:rPr>
        <w:t xml:space="preserve">+371 </w:t>
      </w:r>
      <w:r w:rsidR="00F45ACC">
        <w:rPr>
          <w:rFonts w:ascii="Times New Roman" w:hAnsi="Times New Roman" w:cs="Times New Roman"/>
          <w:color w:val="000000" w:themeColor="text1"/>
        </w:rPr>
        <w:t>26629067</w:t>
      </w:r>
    </w:p>
    <w:bookmarkEnd w:id="1"/>
    <w:p w:rsidR="00880B0B" w:rsidRDefault="003A5A1A" w:rsidP="003A5A1A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</w:t>
      </w:r>
    </w:p>
    <w:p w:rsidR="00880B0B" w:rsidRPr="00880B0B" w:rsidRDefault="00880B0B" w:rsidP="00880B0B">
      <w:pPr>
        <w:spacing w:line="276" w:lineRule="auto"/>
        <w:rPr>
          <w:color w:val="000000"/>
          <w:sz w:val="24"/>
          <w:szCs w:val="24"/>
        </w:rPr>
      </w:pPr>
    </w:p>
    <w:sectPr w:rsidR="00880B0B" w:rsidRPr="00880B0B" w:rsidSect="00701C8F">
      <w:footerReference w:type="default" r:id="rId8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B54" w:rsidRDefault="00092B54" w:rsidP="008C090E">
      <w:pPr>
        <w:spacing w:after="0" w:line="240" w:lineRule="auto"/>
      </w:pPr>
      <w:r>
        <w:separator/>
      </w:r>
    </w:p>
  </w:endnote>
  <w:end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B54" w:rsidRDefault="00092B54" w:rsidP="008C090E">
      <w:pPr>
        <w:spacing w:after="0" w:line="240" w:lineRule="auto"/>
      </w:pPr>
      <w:r>
        <w:separator/>
      </w:r>
    </w:p>
  </w:footnote>
  <w:foot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C58F4"/>
    <w:multiLevelType w:val="multilevel"/>
    <w:tmpl w:val="F55ED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17275"/>
    <w:multiLevelType w:val="hybridMultilevel"/>
    <w:tmpl w:val="D9C8583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F0930"/>
    <w:multiLevelType w:val="hybridMultilevel"/>
    <w:tmpl w:val="099CFECE"/>
    <w:lvl w:ilvl="0" w:tplc="36860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1C08E6"/>
    <w:multiLevelType w:val="hybridMultilevel"/>
    <w:tmpl w:val="D0F4C58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2147D"/>
    <w:multiLevelType w:val="hybridMultilevel"/>
    <w:tmpl w:val="87F8AB1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2554"/>
    <w:multiLevelType w:val="hybridMultilevel"/>
    <w:tmpl w:val="A61C1B28"/>
    <w:lvl w:ilvl="0" w:tplc="5C42D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7305DE"/>
    <w:multiLevelType w:val="hybridMultilevel"/>
    <w:tmpl w:val="9CCE2F8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B405F"/>
    <w:multiLevelType w:val="hybridMultilevel"/>
    <w:tmpl w:val="CBFABCD4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C1483"/>
    <w:multiLevelType w:val="hybridMultilevel"/>
    <w:tmpl w:val="D44288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95E4C"/>
    <w:multiLevelType w:val="hybridMultilevel"/>
    <w:tmpl w:val="AF442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F4E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758A2"/>
    <w:multiLevelType w:val="hybridMultilevel"/>
    <w:tmpl w:val="002E46D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A4519"/>
    <w:multiLevelType w:val="hybridMultilevel"/>
    <w:tmpl w:val="363ACA3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37427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372ADF"/>
    <w:multiLevelType w:val="hybridMultilevel"/>
    <w:tmpl w:val="BDEECB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A47825"/>
    <w:multiLevelType w:val="hybridMultilevel"/>
    <w:tmpl w:val="E126F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F0CF3"/>
    <w:multiLevelType w:val="hybridMultilevel"/>
    <w:tmpl w:val="E692273A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 w15:restartNumberingAfterBreak="0">
    <w:nsid w:val="784B29E7"/>
    <w:multiLevelType w:val="hybridMultilevel"/>
    <w:tmpl w:val="E6D61C4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22B4A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064E2"/>
    <w:multiLevelType w:val="hybridMultilevel"/>
    <w:tmpl w:val="B78CE542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29"/>
  </w:num>
  <w:num w:numId="6">
    <w:abstractNumId w:val="14"/>
  </w:num>
  <w:num w:numId="7">
    <w:abstractNumId w:val="3"/>
  </w:num>
  <w:num w:numId="8">
    <w:abstractNumId w:val="17"/>
  </w:num>
  <w:num w:numId="9">
    <w:abstractNumId w:val="27"/>
  </w:num>
  <w:num w:numId="10">
    <w:abstractNumId w:val="22"/>
  </w:num>
  <w:num w:numId="11">
    <w:abstractNumId w:val="10"/>
  </w:num>
  <w:num w:numId="12">
    <w:abstractNumId w:val="34"/>
  </w:num>
  <w:num w:numId="13">
    <w:abstractNumId w:val="5"/>
  </w:num>
  <w:num w:numId="14">
    <w:abstractNumId w:val="19"/>
  </w:num>
  <w:num w:numId="15">
    <w:abstractNumId w:val="37"/>
  </w:num>
  <w:num w:numId="16">
    <w:abstractNumId w:val="25"/>
  </w:num>
  <w:num w:numId="17">
    <w:abstractNumId w:val="26"/>
  </w:num>
  <w:num w:numId="18">
    <w:abstractNumId w:val="15"/>
  </w:num>
  <w:num w:numId="19">
    <w:abstractNumId w:val="18"/>
  </w:num>
  <w:num w:numId="20">
    <w:abstractNumId w:val="24"/>
  </w:num>
  <w:num w:numId="21">
    <w:abstractNumId w:val="4"/>
  </w:num>
  <w:num w:numId="22">
    <w:abstractNumId w:val="21"/>
  </w:num>
  <w:num w:numId="23">
    <w:abstractNumId w:val="30"/>
  </w:num>
  <w:num w:numId="24">
    <w:abstractNumId w:val="6"/>
  </w:num>
  <w:num w:numId="25">
    <w:abstractNumId w:val="11"/>
  </w:num>
  <w:num w:numId="26">
    <w:abstractNumId w:val="36"/>
  </w:num>
  <w:num w:numId="27">
    <w:abstractNumId w:val="8"/>
  </w:num>
  <w:num w:numId="28">
    <w:abstractNumId w:val="32"/>
  </w:num>
  <w:num w:numId="29">
    <w:abstractNumId w:val="12"/>
  </w:num>
  <w:num w:numId="30">
    <w:abstractNumId w:val="31"/>
  </w:num>
  <w:num w:numId="31">
    <w:abstractNumId w:val="13"/>
  </w:num>
  <w:num w:numId="32">
    <w:abstractNumId w:val="23"/>
  </w:num>
  <w:num w:numId="33">
    <w:abstractNumId w:val="16"/>
  </w:num>
  <w:num w:numId="34">
    <w:abstractNumId w:val="28"/>
  </w:num>
  <w:num w:numId="35">
    <w:abstractNumId w:val="35"/>
  </w:num>
  <w:num w:numId="36">
    <w:abstractNumId w:val="33"/>
  </w:num>
  <w:num w:numId="37">
    <w:abstractNumId w:val="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3DD2"/>
    <w:rsid w:val="00005678"/>
    <w:rsid w:val="000121FF"/>
    <w:rsid w:val="000167BA"/>
    <w:rsid w:val="00024883"/>
    <w:rsid w:val="00034988"/>
    <w:rsid w:val="00053B79"/>
    <w:rsid w:val="000606AB"/>
    <w:rsid w:val="00060C13"/>
    <w:rsid w:val="00064EDC"/>
    <w:rsid w:val="00092B54"/>
    <w:rsid w:val="000A10D3"/>
    <w:rsid w:val="000B3E3B"/>
    <w:rsid w:val="000B4941"/>
    <w:rsid w:val="000C042B"/>
    <w:rsid w:val="000E7667"/>
    <w:rsid w:val="0011413A"/>
    <w:rsid w:val="0013430E"/>
    <w:rsid w:val="001359EC"/>
    <w:rsid w:val="00137B93"/>
    <w:rsid w:val="00140CE0"/>
    <w:rsid w:val="00143AFA"/>
    <w:rsid w:val="00144A81"/>
    <w:rsid w:val="00145778"/>
    <w:rsid w:val="00152403"/>
    <w:rsid w:val="00157CE7"/>
    <w:rsid w:val="00165316"/>
    <w:rsid w:val="00166FB0"/>
    <w:rsid w:val="001810F9"/>
    <w:rsid w:val="00185793"/>
    <w:rsid w:val="00185B6A"/>
    <w:rsid w:val="001959EC"/>
    <w:rsid w:val="001A2CAF"/>
    <w:rsid w:val="001C3671"/>
    <w:rsid w:val="001C6233"/>
    <w:rsid w:val="00200E75"/>
    <w:rsid w:val="00202213"/>
    <w:rsid w:val="00203A10"/>
    <w:rsid w:val="00207FAA"/>
    <w:rsid w:val="00235E3F"/>
    <w:rsid w:val="00247A6B"/>
    <w:rsid w:val="00272366"/>
    <w:rsid w:val="00281958"/>
    <w:rsid w:val="002B3184"/>
    <w:rsid w:val="002C47A9"/>
    <w:rsid w:val="002D2E6E"/>
    <w:rsid w:val="002D34FF"/>
    <w:rsid w:val="00303196"/>
    <w:rsid w:val="003313C9"/>
    <w:rsid w:val="00333148"/>
    <w:rsid w:val="00350BF1"/>
    <w:rsid w:val="00352433"/>
    <w:rsid w:val="00360F59"/>
    <w:rsid w:val="00364451"/>
    <w:rsid w:val="00371B0A"/>
    <w:rsid w:val="0037534B"/>
    <w:rsid w:val="003820CD"/>
    <w:rsid w:val="00383903"/>
    <w:rsid w:val="003A5A1A"/>
    <w:rsid w:val="003B5DA3"/>
    <w:rsid w:val="003D0298"/>
    <w:rsid w:val="003D2D82"/>
    <w:rsid w:val="003E0D85"/>
    <w:rsid w:val="003E5B14"/>
    <w:rsid w:val="003F27F3"/>
    <w:rsid w:val="0040548F"/>
    <w:rsid w:val="004133DF"/>
    <w:rsid w:val="00415039"/>
    <w:rsid w:val="00425BE5"/>
    <w:rsid w:val="00425E19"/>
    <w:rsid w:val="004377F9"/>
    <w:rsid w:val="00437914"/>
    <w:rsid w:val="00455B69"/>
    <w:rsid w:val="0046303D"/>
    <w:rsid w:val="00472C7C"/>
    <w:rsid w:val="004802D9"/>
    <w:rsid w:val="004A51CF"/>
    <w:rsid w:val="004C1708"/>
    <w:rsid w:val="004D5C66"/>
    <w:rsid w:val="004D6FA7"/>
    <w:rsid w:val="00521BB0"/>
    <w:rsid w:val="005434A3"/>
    <w:rsid w:val="00543895"/>
    <w:rsid w:val="00570A08"/>
    <w:rsid w:val="005766BD"/>
    <w:rsid w:val="00583458"/>
    <w:rsid w:val="0059212B"/>
    <w:rsid w:val="005954E5"/>
    <w:rsid w:val="005A1BB6"/>
    <w:rsid w:val="005A3259"/>
    <w:rsid w:val="005A45F5"/>
    <w:rsid w:val="005A476F"/>
    <w:rsid w:val="005B20E9"/>
    <w:rsid w:val="005C42CD"/>
    <w:rsid w:val="005C6926"/>
    <w:rsid w:val="005D1B2B"/>
    <w:rsid w:val="00602BBE"/>
    <w:rsid w:val="00625805"/>
    <w:rsid w:val="0064288D"/>
    <w:rsid w:val="00683F97"/>
    <w:rsid w:val="00692845"/>
    <w:rsid w:val="006934ED"/>
    <w:rsid w:val="006A1B66"/>
    <w:rsid w:val="006C3A52"/>
    <w:rsid w:val="006F7B14"/>
    <w:rsid w:val="00700A1D"/>
    <w:rsid w:val="00701C8F"/>
    <w:rsid w:val="0070290C"/>
    <w:rsid w:val="007046F5"/>
    <w:rsid w:val="00725F93"/>
    <w:rsid w:val="00733806"/>
    <w:rsid w:val="00743B91"/>
    <w:rsid w:val="007620EE"/>
    <w:rsid w:val="00767BF8"/>
    <w:rsid w:val="00794988"/>
    <w:rsid w:val="007A3E41"/>
    <w:rsid w:val="007C1F39"/>
    <w:rsid w:val="007D2B95"/>
    <w:rsid w:val="008151F7"/>
    <w:rsid w:val="008318D6"/>
    <w:rsid w:val="00835462"/>
    <w:rsid w:val="00875C72"/>
    <w:rsid w:val="00875F7F"/>
    <w:rsid w:val="00880B0B"/>
    <w:rsid w:val="00886296"/>
    <w:rsid w:val="00896DDE"/>
    <w:rsid w:val="008B2AFC"/>
    <w:rsid w:val="008C090E"/>
    <w:rsid w:val="0091070B"/>
    <w:rsid w:val="0091227E"/>
    <w:rsid w:val="00927CD9"/>
    <w:rsid w:val="009455A3"/>
    <w:rsid w:val="00945F5B"/>
    <w:rsid w:val="00961A92"/>
    <w:rsid w:val="00965E52"/>
    <w:rsid w:val="00987D5E"/>
    <w:rsid w:val="00994E62"/>
    <w:rsid w:val="009A6D84"/>
    <w:rsid w:val="009B4775"/>
    <w:rsid w:val="009F2D55"/>
    <w:rsid w:val="00A07C8C"/>
    <w:rsid w:val="00A1345F"/>
    <w:rsid w:val="00A4320A"/>
    <w:rsid w:val="00A5108F"/>
    <w:rsid w:val="00A71FB4"/>
    <w:rsid w:val="00AB3ADA"/>
    <w:rsid w:val="00AC3356"/>
    <w:rsid w:val="00AD10C5"/>
    <w:rsid w:val="00AE09B2"/>
    <w:rsid w:val="00AF1115"/>
    <w:rsid w:val="00AF34C9"/>
    <w:rsid w:val="00B1063E"/>
    <w:rsid w:val="00B12903"/>
    <w:rsid w:val="00B20BDD"/>
    <w:rsid w:val="00B266F5"/>
    <w:rsid w:val="00B27543"/>
    <w:rsid w:val="00B32933"/>
    <w:rsid w:val="00B36A21"/>
    <w:rsid w:val="00B61535"/>
    <w:rsid w:val="00B662C3"/>
    <w:rsid w:val="00B86084"/>
    <w:rsid w:val="00B957C5"/>
    <w:rsid w:val="00BA285D"/>
    <w:rsid w:val="00BA35F2"/>
    <w:rsid w:val="00BC1D54"/>
    <w:rsid w:val="00BD3594"/>
    <w:rsid w:val="00BD43D8"/>
    <w:rsid w:val="00BE4D4E"/>
    <w:rsid w:val="00BF4360"/>
    <w:rsid w:val="00C25E76"/>
    <w:rsid w:val="00C31D61"/>
    <w:rsid w:val="00C51D04"/>
    <w:rsid w:val="00C57418"/>
    <w:rsid w:val="00C6244B"/>
    <w:rsid w:val="00C739E6"/>
    <w:rsid w:val="00CB01B9"/>
    <w:rsid w:val="00CC19CB"/>
    <w:rsid w:val="00CD5668"/>
    <w:rsid w:val="00CF7343"/>
    <w:rsid w:val="00D20455"/>
    <w:rsid w:val="00D25155"/>
    <w:rsid w:val="00D266DB"/>
    <w:rsid w:val="00D26D6E"/>
    <w:rsid w:val="00D46973"/>
    <w:rsid w:val="00D47A09"/>
    <w:rsid w:val="00D66330"/>
    <w:rsid w:val="00DA50E0"/>
    <w:rsid w:val="00DB1971"/>
    <w:rsid w:val="00DC3DB2"/>
    <w:rsid w:val="00DF52F8"/>
    <w:rsid w:val="00E34ED3"/>
    <w:rsid w:val="00E35A05"/>
    <w:rsid w:val="00E605CF"/>
    <w:rsid w:val="00E72081"/>
    <w:rsid w:val="00E874B7"/>
    <w:rsid w:val="00EA7B58"/>
    <w:rsid w:val="00EB1257"/>
    <w:rsid w:val="00EB3424"/>
    <w:rsid w:val="00EB4E38"/>
    <w:rsid w:val="00EC2BE6"/>
    <w:rsid w:val="00EE490B"/>
    <w:rsid w:val="00F01510"/>
    <w:rsid w:val="00F20673"/>
    <w:rsid w:val="00F21D07"/>
    <w:rsid w:val="00F2716F"/>
    <w:rsid w:val="00F27D3E"/>
    <w:rsid w:val="00F45ACC"/>
    <w:rsid w:val="00F61F94"/>
    <w:rsid w:val="00F66DAD"/>
    <w:rsid w:val="00F70AB6"/>
    <w:rsid w:val="00F80242"/>
    <w:rsid w:val="00F85615"/>
    <w:rsid w:val="00F94519"/>
    <w:rsid w:val="00FA0A8A"/>
    <w:rsid w:val="00FA2D1F"/>
    <w:rsid w:val="00FB1F6F"/>
    <w:rsid w:val="00FB4025"/>
    <w:rsid w:val="00FC4FB4"/>
    <w:rsid w:val="00FC63EF"/>
    <w:rsid w:val="00FD3743"/>
    <w:rsid w:val="00FE78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A380"/>
  <w15:docId w15:val="{333C87FD-02C4-4CC8-BCEF-4A08A4B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521B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5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eta.narodovska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Ineta Narodovska</cp:lastModifiedBy>
  <cp:revision>4</cp:revision>
  <cp:lastPrinted>2019-03-12T12:41:00Z</cp:lastPrinted>
  <dcterms:created xsi:type="dcterms:W3CDTF">2025-11-24T07:25:00Z</dcterms:created>
  <dcterms:modified xsi:type="dcterms:W3CDTF">2025-11-24T07:31:00Z</dcterms:modified>
</cp:coreProperties>
</file>