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70E" w:rsidRPr="0062770E" w:rsidRDefault="0062770E" w:rsidP="0062770E">
      <w:pPr>
        <w:jc w:val="center"/>
        <w:rPr>
          <w:rFonts w:ascii="Times New Roman" w:hAnsi="Times New Roman" w:cs="Times New Roman"/>
          <w:sz w:val="28"/>
          <w:szCs w:val="28"/>
        </w:rPr>
      </w:pPr>
      <w:r w:rsidRPr="0062770E">
        <w:rPr>
          <w:rFonts w:ascii="Times New Roman" w:hAnsi="Times New Roman" w:cs="Times New Roman"/>
          <w:sz w:val="28"/>
          <w:szCs w:val="28"/>
        </w:rPr>
        <w:t>PRETENDENTA PIETEIKUMS</w:t>
      </w:r>
    </w:p>
    <w:tbl>
      <w:tblPr>
        <w:tblStyle w:val="TableGrid"/>
        <w:tblW w:w="5000" w:type="pct"/>
        <w:tblLook w:val="04A0" w:firstRow="1" w:lastRow="0" w:firstColumn="1" w:lastColumn="0" w:noHBand="0" w:noVBand="1"/>
      </w:tblPr>
      <w:tblGrid>
        <w:gridCol w:w="5149"/>
        <w:gridCol w:w="5307"/>
      </w:tblGrid>
      <w:tr w:rsidR="0062770E" w:rsidRPr="0062770E" w:rsidTr="006D6CE4">
        <w:tc>
          <w:tcPr>
            <w:tcW w:w="2462" w:type="pct"/>
            <w:shd w:val="clear" w:color="auto" w:fill="E2EFD9" w:themeFill="accent6" w:themeFillTint="33"/>
          </w:tcPr>
          <w:p w:rsidR="0062770E" w:rsidRPr="0062770E" w:rsidRDefault="0062770E" w:rsidP="0062770E">
            <w:pPr>
              <w:rPr>
                <w:rFonts w:ascii="Times New Roman" w:hAnsi="Times New Roman" w:cs="Times New Roman"/>
                <w:sz w:val="24"/>
                <w:szCs w:val="24"/>
              </w:rPr>
            </w:pPr>
            <w:r w:rsidRPr="0062770E">
              <w:rPr>
                <w:rFonts w:ascii="Times New Roman" w:hAnsi="Times New Roman" w:cs="Times New Roman"/>
                <w:sz w:val="24"/>
                <w:szCs w:val="24"/>
              </w:rPr>
              <w:t>Nosaukums</w:t>
            </w:r>
          </w:p>
        </w:tc>
        <w:tc>
          <w:tcPr>
            <w:tcW w:w="2538" w:type="pct"/>
          </w:tcPr>
          <w:p w:rsidR="0062770E" w:rsidRPr="0062770E" w:rsidRDefault="0062770E" w:rsidP="0062770E">
            <w:pPr>
              <w:jc w:val="center"/>
              <w:rPr>
                <w:rFonts w:ascii="Times New Roman" w:hAnsi="Times New Roman" w:cs="Times New Roman"/>
              </w:rPr>
            </w:pPr>
          </w:p>
        </w:tc>
      </w:tr>
      <w:tr w:rsidR="0062770E" w:rsidRPr="0062770E" w:rsidTr="006D6CE4">
        <w:tc>
          <w:tcPr>
            <w:tcW w:w="2462" w:type="pct"/>
            <w:shd w:val="clear" w:color="auto" w:fill="E2EFD9" w:themeFill="accent6" w:themeFillTint="33"/>
          </w:tcPr>
          <w:p w:rsidR="0062770E" w:rsidRPr="0062770E" w:rsidRDefault="0062770E" w:rsidP="0062770E">
            <w:pPr>
              <w:rPr>
                <w:rFonts w:ascii="Times New Roman" w:hAnsi="Times New Roman" w:cs="Times New Roman"/>
                <w:sz w:val="24"/>
                <w:szCs w:val="24"/>
              </w:rPr>
            </w:pPr>
            <w:r w:rsidRPr="0062770E">
              <w:rPr>
                <w:rFonts w:ascii="Times New Roman" w:hAnsi="Times New Roman" w:cs="Times New Roman"/>
                <w:sz w:val="24"/>
                <w:szCs w:val="24"/>
              </w:rPr>
              <w:t>Reģistrācijas numurs</w:t>
            </w:r>
          </w:p>
        </w:tc>
        <w:tc>
          <w:tcPr>
            <w:tcW w:w="2538" w:type="pct"/>
          </w:tcPr>
          <w:p w:rsidR="0062770E" w:rsidRPr="0062770E" w:rsidRDefault="0062770E" w:rsidP="0062770E">
            <w:pPr>
              <w:jc w:val="center"/>
              <w:rPr>
                <w:rFonts w:ascii="Times New Roman" w:hAnsi="Times New Roman" w:cs="Times New Roman"/>
              </w:rPr>
            </w:pPr>
          </w:p>
        </w:tc>
      </w:tr>
      <w:tr w:rsidR="0062770E" w:rsidRPr="0062770E" w:rsidTr="006D6CE4">
        <w:tc>
          <w:tcPr>
            <w:tcW w:w="2462" w:type="pct"/>
            <w:shd w:val="clear" w:color="auto" w:fill="E2EFD9" w:themeFill="accent6" w:themeFillTint="33"/>
          </w:tcPr>
          <w:p w:rsidR="0062770E" w:rsidRPr="0062770E" w:rsidRDefault="0062770E" w:rsidP="0062770E">
            <w:pPr>
              <w:rPr>
                <w:rFonts w:ascii="Times New Roman" w:hAnsi="Times New Roman" w:cs="Times New Roman"/>
                <w:sz w:val="24"/>
                <w:szCs w:val="24"/>
              </w:rPr>
            </w:pPr>
            <w:r w:rsidRPr="0062770E">
              <w:rPr>
                <w:rFonts w:ascii="Times New Roman" w:hAnsi="Times New Roman" w:cs="Times New Roman"/>
                <w:sz w:val="24"/>
                <w:szCs w:val="24"/>
              </w:rPr>
              <w:t>Kontaktinformācijā (e-pasts, tālruņa numurs, adrese)</w:t>
            </w:r>
          </w:p>
        </w:tc>
        <w:tc>
          <w:tcPr>
            <w:tcW w:w="2538" w:type="pct"/>
          </w:tcPr>
          <w:p w:rsidR="0062770E" w:rsidRPr="0062770E" w:rsidRDefault="0062770E" w:rsidP="0062770E">
            <w:pPr>
              <w:jc w:val="center"/>
              <w:rPr>
                <w:rFonts w:ascii="Times New Roman" w:hAnsi="Times New Roman" w:cs="Times New Roman"/>
              </w:rPr>
            </w:pPr>
          </w:p>
        </w:tc>
      </w:tr>
    </w:tbl>
    <w:p w:rsidR="00E21600" w:rsidRDefault="00E21600"/>
    <w:p w:rsidR="0062770E" w:rsidRPr="0062770E" w:rsidRDefault="0062770E" w:rsidP="004B59FD">
      <w:pPr>
        <w:spacing w:after="360" w:line="240" w:lineRule="auto"/>
        <w:jc w:val="center"/>
        <w:rPr>
          <w:rFonts w:ascii="Times New Roman" w:eastAsia="Times New Roman" w:hAnsi="Times New Roman" w:cs="Times New Roman"/>
          <w:b/>
          <w:sz w:val="28"/>
          <w:szCs w:val="28"/>
          <w:lang w:eastAsia="lv-LV"/>
        </w:rPr>
      </w:pPr>
      <w:r w:rsidRPr="0062770E">
        <w:rPr>
          <w:rFonts w:ascii="Times New Roman" w:eastAsia="Times New Roman" w:hAnsi="Times New Roman" w:cs="Times New Roman"/>
          <w:b/>
          <w:sz w:val="28"/>
          <w:szCs w:val="28"/>
          <w:lang w:eastAsia="lv-LV"/>
        </w:rPr>
        <w:t>TEHNISKĀ SPECIFIKĀCIJA UN TEHNISKAIS PIEDĀVĀJUMS</w:t>
      </w:r>
    </w:p>
    <w:p w:rsidR="001C7C4E" w:rsidRDefault="00FD2172" w:rsidP="00166B5C">
      <w:pPr>
        <w:spacing w:after="240" w:line="240" w:lineRule="auto"/>
        <w:jc w:val="center"/>
        <w:rPr>
          <w:rFonts w:ascii="Times New Roman" w:eastAsia="Times New Roman" w:hAnsi="Times New Roman" w:cs="Times New Roman"/>
          <w:b/>
          <w:color w:val="000000"/>
          <w:sz w:val="24"/>
          <w:szCs w:val="24"/>
          <w:lang w:eastAsia="lv-LV"/>
        </w:rPr>
      </w:pPr>
      <w:r w:rsidRPr="00FD2172">
        <w:rPr>
          <w:rFonts w:ascii="Times New Roman" w:eastAsia="Times New Roman" w:hAnsi="Times New Roman" w:cs="Times New Roman"/>
          <w:b/>
          <w:color w:val="000000"/>
          <w:sz w:val="24"/>
          <w:szCs w:val="24"/>
          <w:lang w:eastAsia="lv-LV"/>
        </w:rPr>
        <w:t>UGUNSDZĒSĒJU AIZSARGTĒRPA REMONTA PAKALPOJUMI</w:t>
      </w:r>
    </w:p>
    <w:tbl>
      <w:tblPr>
        <w:tblW w:w="10432" w:type="dxa"/>
        <w:tblLayout w:type="fixed"/>
        <w:tblLook w:val="04A0" w:firstRow="1" w:lastRow="0" w:firstColumn="1" w:lastColumn="0" w:noHBand="0" w:noVBand="1"/>
      </w:tblPr>
      <w:tblGrid>
        <w:gridCol w:w="737"/>
        <w:gridCol w:w="4876"/>
        <w:gridCol w:w="4819"/>
      </w:tblGrid>
      <w:tr w:rsidR="006D6CE4" w:rsidRPr="00A56A02" w:rsidTr="006D6CE4">
        <w:trPr>
          <w:trHeight w:val="300"/>
          <w:tblHeader/>
        </w:trPr>
        <w:tc>
          <w:tcPr>
            <w:tcW w:w="737"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E833D1" w:rsidRPr="00D06D2A" w:rsidRDefault="00E833D1" w:rsidP="00A56A02">
            <w:pPr>
              <w:spacing w:after="0" w:line="240" w:lineRule="auto"/>
              <w:jc w:val="center"/>
              <w:rPr>
                <w:rFonts w:ascii="Times New Roman" w:eastAsia="Times New Roman" w:hAnsi="Times New Roman" w:cs="Times New Roman"/>
                <w:b/>
                <w:bCs/>
                <w:sz w:val="24"/>
                <w:szCs w:val="24"/>
                <w:lang w:eastAsia="lv-LV"/>
              </w:rPr>
            </w:pPr>
            <w:r w:rsidRPr="00D06D2A">
              <w:rPr>
                <w:rFonts w:ascii="Times New Roman" w:eastAsia="Times New Roman" w:hAnsi="Times New Roman" w:cs="Times New Roman"/>
                <w:b/>
                <w:bCs/>
                <w:sz w:val="24"/>
                <w:szCs w:val="24"/>
                <w:lang w:eastAsia="lv-LV"/>
              </w:rPr>
              <w:t>Nr.</w:t>
            </w:r>
          </w:p>
          <w:p w:rsidR="00E833D1" w:rsidRPr="00D06D2A" w:rsidRDefault="00E833D1" w:rsidP="00A56A02">
            <w:pPr>
              <w:spacing w:after="0" w:line="240" w:lineRule="auto"/>
              <w:jc w:val="center"/>
              <w:rPr>
                <w:rFonts w:ascii="Times New Roman" w:eastAsia="Times New Roman" w:hAnsi="Times New Roman" w:cs="Times New Roman"/>
                <w:b/>
                <w:bCs/>
                <w:sz w:val="24"/>
                <w:szCs w:val="24"/>
                <w:lang w:eastAsia="lv-LV"/>
              </w:rPr>
            </w:pPr>
            <w:r w:rsidRPr="00D06D2A">
              <w:rPr>
                <w:rFonts w:ascii="Times New Roman" w:eastAsia="Times New Roman" w:hAnsi="Times New Roman" w:cs="Times New Roman"/>
                <w:b/>
                <w:bCs/>
                <w:sz w:val="24"/>
                <w:szCs w:val="24"/>
                <w:lang w:eastAsia="lv-LV"/>
              </w:rPr>
              <w:t>p.k.</w:t>
            </w:r>
          </w:p>
        </w:tc>
        <w:tc>
          <w:tcPr>
            <w:tcW w:w="4876" w:type="dxa"/>
            <w:tcBorders>
              <w:top w:val="single" w:sz="4" w:space="0" w:color="auto"/>
              <w:left w:val="nil"/>
              <w:bottom w:val="single" w:sz="4" w:space="0" w:color="auto"/>
              <w:right w:val="single" w:sz="4" w:space="0" w:color="auto"/>
            </w:tcBorders>
            <w:shd w:val="clear" w:color="000000" w:fill="E2EFDA"/>
            <w:noWrap/>
            <w:vAlign w:val="center"/>
            <w:hideMark/>
          </w:tcPr>
          <w:p w:rsidR="00BE7EF1" w:rsidRPr="00D06D2A" w:rsidRDefault="006D6CE4" w:rsidP="00A56A02">
            <w:pPr>
              <w:spacing w:after="0" w:line="240" w:lineRule="auto"/>
              <w:jc w:val="center"/>
              <w:rPr>
                <w:rFonts w:ascii="Times New Roman" w:eastAsia="Times New Roman" w:hAnsi="Times New Roman" w:cs="Times New Roman"/>
                <w:b/>
                <w:bCs/>
                <w:sz w:val="24"/>
                <w:szCs w:val="24"/>
                <w:lang w:eastAsia="lv-LV"/>
              </w:rPr>
            </w:pPr>
            <w:r w:rsidRPr="00D06D2A">
              <w:rPr>
                <w:rFonts w:ascii="Times New Roman" w:eastAsia="Times New Roman" w:hAnsi="Times New Roman" w:cs="Times New Roman"/>
                <w:b/>
                <w:bCs/>
                <w:sz w:val="24"/>
                <w:szCs w:val="24"/>
                <w:lang w:eastAsia="lv-LV"/>
              </w:rPr>
              <w:t xml:space="preserve">Pasūtītāja prasības pretendentam </w:t>
            </w:r>
          </w:p>
          <w:p w:rsidR="00E833D1" w:rsidRPr="00D06D2A" w:rsidRDefault="006D6CE4" w:rsidP="00A56A02">
            <w:pPr>
              <w:spacing w:after="0" w:line="240" w:lineRule="auto"/>
              <w:jc w:val="center"/>
              <w:rPr>
                <w:rFonts w:ascii="Times New Roman" w:eastAsia="Times New Roman" w:hAnsi="Times New Roman" w:cs="Times New Roman"/>
                <w:b/>
                <w:bCs/>
                <w:sz w:val="24"/>
                <w:szCs w:val="24"/>
                <w:lang w:eastAsia="lv-LV"/>
              </w:rPr>
            </w:pPr>
            <w:r w:rsidRPr="00D06D2A">
              <w:rPr>
                <w:rFonts w:ascii="Times New Roman" w:eastAsia="Times New Roman" w:hAnsi="Times New Roman" w:cs="Times New Roman"/>
                <w:bCs/>
                <w:i/>
                <w:sz w:val="24"/>
                <w:szCs w:val="24"/>
                <w:lang w:eastAsia="lv-LV"/>
              </w:rPr>
              <w:t>(specifikācija)</w:t>
            </w:r>
          </w:p>
        </w:tc>
        <w:tc>
          <w:tcPr>
            <w:tcW w:w="4819" w:type="dxa"/>
            <w:tcBorders>
              <w:top w:val="single" w:sz="4" w:space="0" w:color="auto"/>
              <w:left w:val="nil"/>
              <w:bottom w:val="single" w:sz="4" w:space="0" w:color="auto"/>
              <w:right w:val="single" w:sz="4" w:space="0" w:color="auto"/>
            </w:tcBorders>
            <w:shd w:val="clear" w:color="000000" w:fill="E2EFDA"/>
            <w:noWrap/>
            <w:vAlign w:val="center"/>
            <w:hideMark/>
          </w:tcPr>
          <w:p w:rsidR="00BE7EF1" w:rsidRPr="00D06D2A" w:rsidRDefault="00BE7EF1" w:rsidP="00A56A02">
            <w:pPr>
              <w:spacing w:after="0" w:line="240" w:lineRule="auto"/>
              <w:jc w:val="center"/>
              <w:rPr>
                <w:rFonts w:ascii="Times New Roman" w:eastAsia="Times New Roman" w:hAnsi="Times New Roman" w:cs="Times New Roman"/>
                <w:b/>
                <w:bCs/>
                <w:sz w:val="24"/>
                <w:szCs w:val="24"/>
                <w:lang w:eastAsia="lv-LV"/>
              </w:rPr>
            </w:pPr>
            <w:r w:rsidRPr="00D06D2A">
              <w:rPr>
                <w:rFonts w:ascii="Times New Roman" w:eastAsia="Times New Roman" w:hAnsi="Times New Roman" w:cs="Times New Roman"/>
                <w:b/>
                <w:bCs/>
                <w:sz w:val="24"/>
                <w:szCs w:val="24"/>
                <w:lang w:eastAsia="lv-LV"/>
              </w:rPr>
              <w:t>Pretendenta tehniskais piedāvājums</w:t>
            </w:r>
          </w:p>
          <w:p w:rsidR="00E833D1" w:rsidRPr="00D06D2A" w:rsidRDefault="00BE7EF1" w:rsidP="00A56A02">
            <w:pPr>
              <w:spacing w:after="0" w:line="240" w:lineRule="auto"/>
              <w:jc w:val="center"/>
              <w:rPr>
                <w:rFonts w:ascii="Times New Roman" w:eastAsia="Times New Roman" w:hAnsi="Times New Roman" w:cs="Times New Roman"/>
                <w:b/>
                <w:bCs/>
                <w:sz w:val="24"/>
                <w:szCs w:val="24"/>
                <w:lang w:eastAsia="lv-LV"/>
              </w:rPr>
            </w:pPr>
            <w:r w:rsidRPr="00D06D2A">
              <w:rPr>
                <w:rFonts w:ascii="Times New Roman" w:eastAsia="Times New Roman" w:hAnsi="Times New Roman" w:cs="Times New Roman"/>
                <w:bCs/>
                <w:i/>
                <w:sz w:val="24"/>
                <w:szCs w:val="24"/>
                <w:lang w:eastAsia="lv-LV"/>
              </w:rPr>
              <w:t>(detalizēts apraksts, aizpilda pretendents)</w:t>
            </w:r>
          </w:p>
        </w:tc>
      </w:tr>
      <w:tr w:rsidR="00F0753E" w:rsidRPr="00A56A02" w:rsidTr="0070307B">
        <w:trPr>
          <w:trHeight w:val="567"/>
        </w:trPr>
        <w:tc>
          <w:tcPr>
            <w:tcW w:w="737" w:type="dxa"/>
            <w:tcBorders>
              <w:top w:val="nil"/>
              <w:left w:val="single" w:sz="4" w:space="0" w:color="auto"/>
              <w:bottom w:val="single" w:sz="4" w:space="0" w:color="auto"/>
              <w:right w:val="single" w:sz="4" w:space="0" w:color="auto"/>
            </w:tcBorders>
            <w:shd w:val="clear" w:color="auto" w:fill="C5E0B3" w:themeFill="accent6" w:themeFillTint="66"/>
            <w:noWrap/>
            <w:vAlign w:val="center"/>
          </w:tcPr>
          <w:p w:rsidR="00F0753E" w:rsidRPr="0070307B" w:rsidRDefault="00F0753E" w:rsidP="00C63014">
            <w:pPr>
              <w:pStyle w:val="ListParagraph"/>
              <w:numPr>
                <w:ilvl w:val="0"/>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C5E0B3" w:themeFill="accent6" w:themeFillTint="66"/>
          </w:tcPr>
          <w:p w:rsidR="00F0753E" w:rsidRPr="00F0753E" w:rsidRDefault="00FD2172" w:rsidP="00F0753E">
            <w:p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b/>
                <w:sz w:val="24"/>
                <w:szCs w:val="24"/>
                <w:lang w:eastAsia="lv-LV"/>
              </w:rPr>
              <w:t>Pakalpojums:</w:t>
            </w:r>
            <w:r w:rsidRPr="00FD2172">
              <w:rPr>
                <w:rFonts w:ascii="Times New Roman" w:eastAsia="Times New Roman" w:hAnsi="Times New Roman" w:cs="Times New Roman"/>
                <w:sz w:val="24"/>
                <w:szCs w:val="24"/>
                <w:lang w:eastAsia="lv-LV"/>
              </w:rPr>
              <w:t xml:space="preserve"> ugunsdzēsēju aizsargtērpa virsjakas un/vai bikšu remonts</w:t>
            </w:r>
          </w:p>
        </w:tc>
        <w:tc>
          <w:tcPr>
            <w:tcW w:w="4819" w:type="dxa"/>
            <w:tcBorders>
              <w:top w:val="nil"/>
              <w:left w:val="nil"/>
              <w:bottom w:val="single" w:sz="4" w:space="0" w:color="auto"/>
              <w:right w:val="single" w:sz="4" w:space="0" w:color="auto"/>
            </w:tcBorders>
            <w:shd w:val="clear" w:color="auto" w:fill="C5E0B3" w:themeFill="accent6" w:themeFillTint="66"/>
            <w:noWrap/>
            <w:vAlign w:val="bottom"/>
            <w:hideMark/>
          </w:tcPr>
          <w:p w:rsidR="00F0753E" w:rsidRPr="007D1315" w:rsidRDefault="00F0753E" w:rsidP="00F0753E">
            <w:pPr>
              <w:spacing w:after="0" w:line="240" w:lineRule="auto"/>
              <w:rPr>
                <w:rFonts w:ascii="Calibri" w:eastAsia="Times New Roman" w:hAnsi="Calibri" w:cs="Calibri"/>
                <w:color w:val="000000"/>
                <w:lang w:eastAsia="lv-LV"/>
              </w:rPr>
            </w:pPr>
            <w:r w:rsidRPr="007D1315">
              <w:rPr>
                <w:rFonts w:ascii="Calibri" w:eastAsia="Times New Roman" w:hAnsi="Calibri" w:cs="Calibri"/>
                <w:color w:val="000000"/>
                <w:lang w:eastAsia="lv-LV"/>
              </w:rPr>
              <w:t> </w:t>
            </w:r>
          </w:p>
        </w:tc>
      </w:tr>
      <w:tr w:rsidR="0070307B" w:rsidRPr="00A56A02" w:rsidTr="00FD2E8C">
        <w:trPr>
          <w:trHeight w:val="567"/>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0"/>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9695" w:type="dxa"/>
            <w:gridSpan w:val="2"/>
            <w:tcBorders>
              <w:top w:val="nil"/>
              <w:left w:val="nil"/>
              <w:bottom w:val="single" w:sz="4" w:space="0" w:color="auto"/>
              <w:right w:val="single" w:sz="4" w:space="0" w:color="auto"/>
            </w:tcBorders>
            <w:shd w:val="clear" w:color="auto" w:fill="auto"/>
          </w:tcPr>
          <w:p w:rsidR="0070307B" w:rsidRPr="007D1315" w:rsidRDefault="0070307B" w:rsidP="00F0753E">
            <w:pPr>
              <w:spacing w:after="0" w:line="240" w:lineRule="auto"/>
              <w:rPr>
                <w:rFonts w:ascii="Calibri" w:eastAsia="Times New Roman" w:hAnsi="Calibri" w:cs="Calibri"/>
                <w:color w:val="000000"/>
                <w:lang w:eastAsia="lv-LV"/>
              </w:rPr>
            </w:pPr>
            <w:r w:rsidRPr="00FD2172">
              <w:rPr>
                <w:rFonts w:ascii="Times New Roman" w:eastAsia="Times New Roman" w:hAnsi="Times New Roman" w:cs="Times New Roman"/>
                <w:b/>
                <w:sz w:val="24"/>
                <w:szCs w:val="24"/>
                <w:lang w:eastAsia="lv-LV"/>
              </w:rPr>
              <w:t>Pakalpojuma apraksts</w:t>
            </w:r>
          </w:p>
        </w:tc>
      </w:tr>
      <w:tr w:rsidR="00F0753E" w:rsidRPr="00A56A02" w:rsidTr="00853135">
        <w:trPr>
          <w:trHeight w:val="597"/>
        </w:trPr>
        <w:tc>
          <w:tcPr>
            <w:tcW w:w="737" w:type="dxa"/>
            <w:tcBorders>
              <w:top w:val="nil"/>
              <w:left w:val="single" w:sz="4" w:space="0" w:color="auto"/>
              <w:bottom w:val="single" w:sz="4" w:space="0" w:color="auto"/>
              <w:right w:val="single" w:sz="4" w:space="0" w:color="auto"/>
            </w:tcBorders>
            <w:shd w:val="clear" w:color="auto" w:fill="auto"/>
            <w:noWrap/>
            <w:vAlign w:val="center"/>
          </w:tcPr>
          <w:p w:rsidR="00F0753E" w:rsidRPr="0070307B" w:rsidRDefault="00F0753E"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FD2172" w:rsidRPr="00FD2172" w:rsidRDefault="00FD2172" w:rsidP="00FD2172">
            <w:p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Pretendentam jānodrošina ugunsdzēsēju aizsargtērpu remonts, veicot sekojošu biežāk sastopamo bojājumu novēršanu:</w:t>
            </w:r>
          </w:p>
          <w:p w:rsidR="00FD2172" w:rsidRPr="00FD2172" w:rsidRDefault="00FD2172" w:rsidP="00FD2172">
            <w:pPr>
              <w:pStyle w:val="ListParagraph"/>
              <w:numPr>
                <w:ilvl w:val="0"/>
                <w:numId w:val="24"/>
              </w:num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atirušo atstarojošo elementu remonts vai nomaiņa,</w:t>
            </w:r>
          </w:p>
          <w:p w:rsidR="00FD2172" w:rsidRPr="00FD2172" w:rsidRDefault="00FD2172" w:rsidP="00FD2172">
            <w:pPr>
              <w:pStyle w:val="ListParagraph"/>
              <w:numPr>
                <w:ilvl w:val="0"/>
                <w:numId w:val="24"/>
              </w:num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plīsumu (t.sk. stakles daļā) remonts,</w:t>
            </w:r>
          </w:p>
          <w:p w:rsidR="00FD2172" w:rsidRPr="00FD2172" w:rsidRDefault="00FD2172" w:rsidP="00FD2172">
            <w:pPr>
              <w:pStyle w:val="ListParagraph"/>
              <w:numPr>
                <w:ilvl w:val="0"/>
                <w:numId w:val="24"/>
              </w:num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ceļu aizsargu bojājumu remonts,</w:t>
            </w:r>
          </w:p>
          <w:p w:rsidR="00FD2172" w:rsidRPr="00FD2172" w:rsidRDefault="00FD2172" w:rsidP="00FD2172">
            <w:pPr>
              <w:pStyle w:val="ListParagraph"/>
              <w:numPr>
                <w:ilvl w:val="0"/>
                <w:numId w:val="24"/>
              </w:num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bojāto bikšu siksnu fiksatoru nomaiņa,</w:t>
            </w:r>
          </w:p>
          <w:p w:rsidR="00FD2172" w:rsidRPr="00FD2172" w:rsidRDefault="00FD2172" w:rsidP="00FD2172">
            <w:pPr>
              <w:pStyle w:val="ListParagraph"/>
              <w:numPr>
                <w:ilvl w:val="0"/>
                <w:numId w:val="24"/>
              </w:num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bojāto piedurkņu pagarinājumu remonts vai nomaiņa,</w:t>
            </w:r>
          </w:p>
          <w:p w:rsidR="00FD2172" w:rsidRPr="00FD2172" w:rsidRDefault="00FD2172" w:rsidP="00FD2172">
            <w:pPr>
              <w:pStyle w:val="ListParagraph"/>
              <w:numPr>
                <w:ilvl w:val="0"/>
                <w:numId w:val="24"/>
              </w:num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bojāto rāvējslēdzēju remonts vai nomaiņa,</w:t>
            </w:r>
          </w:p>
          <w:p w:rsidR="00FD2172" w:rsidRPr="00FD2172" w:rsidRDefault="00FD2172" w:rsidP="00FD2172">
            <w:pPr>
              <w:pStyle w:val="ListParagraph"/>
              <w:numPr>
                <w:ilvl w:val="0"/>
                <w:numId w:val="24"/>
              </w:num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izirušo šuvuma vietu aizšūšana,</w:t>
            </w:r>
          </w:p>
          <w:p w:rsidR="00FD2172" w:rsidRPr="00FD2172" w:rsidRDefault="00FD2172" w:rsidP="00FD2172">
            <w:pPr>
              <w:rPr>
                <w:rFonts w:ascii="Times New Roman" w:eastAsia="Times New Roman" w:hAnsi="Times New Roman" w:cs="Times New Roman"/>
                <w:b/>
                <w:sz w:val="24"/>
                <w:szCs w:val="24"/>
                <w:lang w:eastAsia="lv-LV"/>
              </w:rPr>
            </w:pPr>
            <w:r w:rsidRPr="00FD2172">
              <w:rPr>
                <w:rFonts w:ascii="Times New Roman" w:eastAsia="Times New Roman" w:hAnsi="Times New Roman" w:cs="Times New Roman"/>
                <w:sz w:val="24"/>
                <w:szCs w:val="24"/>
                <w:lang w:eastAsia="lv-LV"/>
              </w:rPr>
              <w:t>citu iespējamo, iepriekš neuzskaitīto aizsargtērpu bojājumu remonts.</w:t>
            </w:r>
          </w:p>
        </w:tc>
        <w:tc>
          <w:tcPr>
            <w:tcW w:w="4819" w:type="dxa"/>
            <w:tcBorders>
              <w:top w:val="nil"/>
              <w:left w:val="nil"/>
              <w:bottom w:val="single" w:sz="4" w:space="0" w:color="auto"/>
              <w:right w:val="single" w:sz="4" w:space="0" w:color="auto"/>
            </w:tcBorders>
            <w:shd w:val="clear" w:color="auto" w:fill="auto"/>
            <w:noWrap/>
            <w:vAlign w:val="center"/>
          </w:tcPr>
          <w:p w:rsidR="00F0753E" w:rsidRPr="0093584F" w:rsidRDefault="00F0753E" w:rsidP="00F0753E">
            <w:pPr>
              <w:spacing w:after="0" w:line="240" w:lineRule="auto"/>
              <w:jc w:val="center"/>
              <w:rPr>
                <w:rFonts w:ascii="Times New Roman" w:eastAsia="Times New Roman" w:hAnsi="Times New Roman" w:cs="Times New Roman"/>
                <w:i/>
                <w:color w:val="000000"/>
                <w:sz w:val="24"/>
                <w:szCs w:val="24"/>
                <w:lang w:eastAsia="lv-LV"/>
              </w:rPr>
            </w:pPr>
          </w:p>
        </w:tc>
      </w:tr>
      <w:tr w:rsidR="0070307B" w:rsidRPr="00A56A02" w:rsidTr="00FF04F5">
        <w:trPr>
          <w:trHeight w:val="567"/>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0"/>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9695" w:type="dxa"/>
            <w:gridSpan w:val="2"/>
            <w:tcBorders>
              <w:top w:val="nil"/>
              <w:left w:val="nil"/>
              <w:bottom w:val="single" w:sz="4" w:space="0" w:color="auto"/>
              <w:right w:val="single" w:sz="4" w:space="0" w:color="auto"/>
            </w:tcBorders>
            <w:shd w:val="clear" w:color="auto" w:fill="auto"/>
          </w:tcPr>
          <w:p w:rsidR="0070307B" w:rsidRPr="007D1315" w:rsidRDefault="0070307B" w:rsidP="00F0753E">
            <w:pPr>
              <w:spacing w:after="0" w:line="240" w:lineRule="auto"/>
              <w:rPr>
                <w:rFonts w:ascii="Calibri" w:eastAsia="Times New Roman" w:hAnsi="Calibri" w:cs="Calibri"/>
                <w:color w:val="000000"/>
                <w:lang w:eastAsia="lv-LV"/>
              </w:rPr>
            </w:pPr>
            <w:r w:rsidRPr="00FD2172">
              <w:rPr>
                <w:rFonts w:ascii="Times New Roman" w:eastAsia="Times New Roman" w:hAnsi="Times New Roman" w:cs="Times New Roman"/>
                <w:b/>
                <w:sz w:val="24"/>
                <w:szCs w:val="24"/>
                <w:lang w:eastAsia="lv-LV"/>
              </w:rPr>
              <w:t>Materiāli un rezerves daļas</w:t>
            </w:r>
          </w:p>
        </w:tc>
      </w:tr>
      <w:tr w:rsidR="0070307B" w:rsidRPr="00A56A02" w:rsidTr="0070307B">
        <w:trPr>
          <w:trHeight w:val="567"/>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F0753E" w:rsidRDefault="0070307B" w:rsidP="00F0753E">
            <w:p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Visus remontam nepieciešamos materiālus un rezerves daļas nodrošina pakalpojuma sniedzējs.</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F0753E" w:rsidRDefault="0070307B" w:rsidP="00FD2172">
            <w:p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Remontam izmantojamie materiāli un rezerves daļas nedrīkst samazināt aizsargtērpa kvalitāti un aizsardzības līmeni, kas atbilst ražotāja nodrošinātajam līmenim, kā arī LVS EN 469 “Ugunsdzēsēju aizsargapģērbs. Veiktspējas prasības” noteiktajām prasībām vai ekvivalentam standartam.</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FD2172" w:rsidRDefault="0070307B" w:rsidP="00FD2172">
            <w:p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Ja ražotājs paredzējis konkrētus materiālus vai detaļas, remontā jāizmanto oriģinālās vai ekvivalentas detaļas, kas nodrošina identisku funkcionalitāti un kvalitāti.</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AA72D5">
        <w:trPr>
          <w:trHeight w:val="567"/>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0"/>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9695" w:type="dxa"/>
            <w:gridSpan w:val="2"/>
            <w:tcBorders>
              <w:top w:val="nil"/>
              <w:left w:val="nil"/>
              <w:bottom w:val="single" w:sz="4" w:space="0" w:color="auto"/>
              <w:right w:val="single" w:sz="4" w:space="0" w:color="auto"/>
            </w:tcBorders>
            <w:shd w:val="clear" w:color="auto" w:fill="auto"/>
          </w:tcPr>
          <w:p w:rsidR="0070307B" w:rsidRPr="007D1315" w:rsidRDefault="0070307B" w:rsidP="00F0753E">
            <w:pPr>
              <w:spacing w:after="0" w:line="240" w:lineRule="auto"/>
              <w:rPr>
                <w:rFonts w:ascii="Calibri" w:eastAsia="Times New Roman" w:hAnsi="Calibri" w:cs="Calibri"/>
                <w:color w:val="000000"/>
                <w:lang w:eastAsia="lv-LV"/>
              </w:rPr>
            </w:pPr>
            <w:r w:rsidRPr="00FD2172">
              <w:rPr>
                <w:rFonts w:ascii="Times New Roman" w:eastAsia="Times New Roman" w:hAnsi="Times New Roman" w:cs="Times New Roman"/>
                <w:b/>
                <w:sz w:val="24"/>
                <w:szCs w:val="24"/>
                <w:lang w:eastAsia="lv-LV"/>
              </w:rPr>
              <w:t>Iepakošana un nodošana</w:t>
            </w: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F0753E" w:rsidRDefault="0070307B" w:rsidP="00F0753E">
            <w:p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Pēc remonta virsjakai vai biksēm jābūt salocītām tā, lai būtu redzams marķējums (izmērs).</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F0753E" w:rsidRDefault="0070307B" w:rsidP="00F0753E">
            <w:p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Katrs izstrādājums jāiepako caurspīdīgā, noslēdzamā polipropilēna vai cita ekvivalenta materiāla maisā.</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7D1DEC">
        <w:trPr>
          <w:trHeight w:val="567"/>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0"/>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9695" w:type="dxa"/>
            <w:gridSpan w:val="2"/>
            <w:tcBorders>
              <w:top w:val="nil"/>
              <w:left w:val="nil"/>
              <w:bottom w:val="single" w:sz="4" w:space="0" w:color="auto"/>
              <w:right w:val="single" w:sz="4" w:space="0" w:color="auto"/>
            </w:tcBorders>
            <w:shd w:val="clear" w:color="auto" w:fill="auto"/>
          </w:tcPr>
          <w:p w:rsidR="0070307B" w:rsidRPr="007D1315" w:rsidRDefault="0070307B" w:rsidP="00F0753E">
            <w:pPr>
              <w:spacing w:after="0" w:line="240" w:lineRule="auto"/>
              <w:rPr>
                <w:rFonts w:ascii="Calibri" w:eastAsia="Times New Roman" w:hAnsi="Calibri" w:cs="Calibri"/>
                <w:color w:val="000000"/>
                <w:lang w:eastAsia="lv-LV"/>
              </w:rPr>
            </w:pPr>
            <w:r w:rsidRPr="00FD2172">
              <w:rPr>
                <w:rFonts w:ascii="Times New Roman" w:eastAsia="Times New Roman" w:hAnsi="Times New Roman" w:cs="Times New Roman"/>
                <w:b/>
                <w:sz w:val="24"/>
                <w:szCs w:val="24"/>
                <w:lang w:eastAsia="lv-LV"/>
              </w:rPr>
              <w:t>Izpildes termiņi</w:t>
            </w: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FD2172" w:rsidRDefault="0070307B" w:rsidP="00F0753E">
            <w:p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Pasūtījuma izpildes laiks nedrīkst pārsniegt 15 (piecpadsmit) kalendārās dienas no aizsargtērpu nodošanas brīža.</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FD2172" w:rsidRDefault="0070307B" w:rsidP="00F0753E">
            <w:pPr>
              <w:rPr>
                <w:rFonts w:ascii="Times New Roman" w:eastAsia="Times New Roman" w:hAnsi="Times New Roman" w:cs="Times New Roman"/>
                <w:sz w:val="24"/>
                <w:szCs w:val="24"/>
                <w:lang w:eastAsia="lv-LV"/>
              </w:rPr>
            </w:pPr>
            <w:r w:rsidRPr="00FD2172">
              <w:rPr>
                <w:rFonts w:ascii="Times New Roman" w:eastAsia="Times New Roman" w:hAnsi="Times New Roman" w:cs="Times New Roman"/>
                <w:sz w:val="24"/>
                <w:szCs w:val="24"/>
                <w:lang w:eastAsia="lv-LV"/>
              </w:rPr>
              <w:t xml:space="preserve">Neatliekamos gadījumos (ugunsdzēsības un glābšanas darbu nepārtrauktas nodrošināšanas interesēs) Pasūtītājam </w:t>
            </w:r>
            <w:r>
              <w:rPr>
                <w:rFonts w:ascii="Times New Roman" w:eastAsia="Times New Roman" w:hAnsi="Times New Roman" w:cs="Times New Roman"/>
                <w:sz w:val="24"/>
                <w:szCs w:val="24"/>
                <w:lang w:eastAsia="lv-LV"/>
              </w:rPr>
              <w:t>jābūt</w:t>
            </w:r>
            <w:r w:rsidRPr="00FD2172">
              <w:rPr>
                <w:rFonts w:ascii="Times New Roman" w:eastAsia="Times New Roman" w:hAnsi="Times New Roman" w:cs="Times New Roman"/>
                <w:sz w:val="24"/>
                <w:szCs w:val="24"/>
                <w:lang w:eastAsia="lv-LV"/>
              </w:rPr>
              <w:t xml:space="preserve"> tiesībā</w:t>
            </w:r>
            <w:r>
              <w:rPr>
                <w:rFonts w:ascii="Times New Roman" w:eastAsia="Times New Roman" w:hAnsi="Times New Roman" w:cs="Times New Roman"/>
                <w:sz w:val="24"/>
                <w:szCs w:val="24"/>
                <w:lang w:eastAsia="lv-LV"/>
              </w:rPr>
              <w:t>m</w:t>
            </w:r>
            <w:r w:rsidRPr="00FD2172">
              <w:rPr>
                <w:rFonts w:ascii="Times New Roman" w:eastAsia="Times New Roman" w:hAnsi="Times New Roman" w:cs="Times New Roman"/>
                <w:sz w:val="24"/>
                <w:szCs w:val="24"/>
                <w:lang w:eastAsia="lv-LV"/>
              </w:rPr>
              <w:t xml:space="preserve"> pieprasīt steidzamu remontu ar īsāku termiņu. Pretendentam jānorāda maksimāli iespējamais īsākais </w:t>
            </w:r>
            <w:r>
              <w:rPr>
                <w:rFonts w:ascii="Times New Roman" w:eastAsia="Times New Roman" w:hAnsi="Times New Roman" w:cs="Times New Roman"/>
                <w:sz w:val="24"/>
                <w:szCs w:val="24"/>
                <w:lang w:eastAsia="lv-LV"/>
              </w:rPr>
              <w:t xml:space="preserve">izpildes </w:t>
            </w:r>
            <w:r w:rsidRPr="00FD2172">
              <w:rPr>
                <w:rFonts w:ascii="Times New Roman" w:eastAsia="Times New Roman" w:hAnsi="Times New Roman" w:cs="Times New Roman"/>
                <w:sz w:val="24"/>
                <w:szCs w:val="24"/>
                <w:lang w:eastAsia="lv-LV"/>
              </w:rPr>
              <w:t>termiņš.</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63385E">
        <w:trPr>
          <w:trHeight w:val="567"/>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0"/>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9695" w:type="dxa"/>
            <w:gridSpan w:val="2"/>
            <w:tcBorders>
              <w:top w:val="nil"/>
              <w:left w:val="nil"/>
              <w:bottom w:val="single" w:sz="4" w:space="0" w:color="auto"/>
              <w:right w:val="single" w:sz="4" w:space="0" w:color="auto"/>
            </w:tcBorders>
            <w:shd w:val="clear" w:color="auto" w:fill="auto"/>
          </w:tcPr>
          <w:p w:rsidR="0070307B" w:rsidRPr="007D1315" w:rsidRDefault="0070307B" w:rsidP="00F0753E">
            <w:pPr>
              <w:spacing w:after="0" w:line="240" w:lineRule="auto"/>
              <w:rPr>
                <w:rFonts w:ascii="Calibri" w:eastAsia="Times New Roman" w:hAnsi="Calibri" w:cs="Calibri"/>
                <w:color w:val="000000"/>
                <w:lang w:eastAsia="lv-LV"/>
              </w:rPr>
            </w:pPr>
            <w:r w:rsidRPr="00A92155">
              <w:rPr>
                <w:rFonts w:ascii="Times New Roman" w:eastAsia="Times New Roman" w:hAnsi="Times New Roman" w:cs="Times New Roman"/>
                <w:b/>
                <w:sz w:val="24"/>
                <w:szCs w:val="24"/>
                <w:lang w:eastAsia="lv-LV"/>
              </w:rPr>
              <w:t>Pieņemšanas un nodošanas kārtība</w:t>
            </w: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FD2172" w:rsidRDefault="0070307B" w:rsidP="00A92155">
            <w:pPr>
              <w:rPr>
                <w:rFonts w:ascii="Times New Roman" w:eastAsia="Times New Roman" w:hAnsi="Times New Roman" w:cs="Times New Roman"/>
                <w:sz w:val="24"/>
                <w:szCs w:val="24"/>
                <w:lang w:eastAsia="lv-LV"/>
              </w:rPr>
            </w:pPr>
            <w:r w:rsidRPr="00A92155">
              <w:rPr>
                <w:rFonts w:ascii="Times New Roman" w:eastAsia="Times New Roman" w:hAnsi="Times New Roman" w:cs="Times New Roman"/>
                <w:sz w:val="24"/>
                <w:szCs w:val="24"/>
                <w:lang w:eastAsia="lv-LV"/>
              </w:rPr>
              <w:t>Pieņemšanas punkti</w:t>
            </w:r>
            <w:r>
              <w:rPr>
                <w:rFonts w:ascii="Times New Roman" w:eastAsia="Times New Roman" w:hAnsi="Times New Roman" w:cs="Times New Roman"/>
                <w:sz w:val="24"/>
                <w:szCs w:val="24"/>
                <w:lang w:eastAsia="lv-LV"/>
              </w:rPr>
              <w:t>,</w:t>
            </w:r>
            <w:r w:rsidRPr="00A92155">
              <w:rPr>
                <w:rFonts w:ascii="Times New Roman" w:eastAsia="Times New Roman" w:hAnsi="Times New Roman" w:cs="Times New Roman"/>
                <w:sz w:val="24"/>
                <w:szCs w:val="24"/>
                <w:lang w:eastAsia="lv-LV"/>
              </w:rPr>
              <w:t xml:space="preserve"> kuros tiks nodrošināta </w:t>
            </w:r>
            <w:r>
              <w:rPr>
                <w:rFonts w:ascii="Times New Roman" w:eastAsia="Times New Roman" w:hAnsi="Times New Roman" w:cs="Times New Roman"/>
                <w:sz w:val="24"/>
                <w:szCs w:val="24"/>
                <w:lang w:eastAsia="lv-LV"/>
              </w:rPr>
              <w:t>u</w:t>
            </w:r>
            <w:r w:rsidRPr="00A92155">
              <w:rPr>
                <w:rFonts w:ascii="Times New Roman" w:eastAsia="Times New Roman" w:hAnsi="Times New Roman" w:cs="Times New Roman"/>
                <w:sz w:val="24"/>
                <w:szCs w:val="24"/>
                <w:lang w:eastAsia="lv-LV"/>
              </w:rPr>
              <w:t xml:space="preserve">gunsdzēsēju aizsargtērpu pieņemšana un izsniegšana </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166B5C">
        <w:trPr>
          <w:trHeight w:val="1701"/>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A92155" w:rsidRDefault="0070307B" w:rsidP="00A92155">
            <w:pPr>
              <w:rPr>
                <w:rFonts w:ascii="Times New Roman" w:eastAsia="Times New Roman" w:hAnsi="Times New Roman" w:cs="Times New Roman"/>
                <w:sz w:val="24"/>
                <w:szCs w:val="24"/>
                <w:lang w:eastAsia="lv-LV"/>
              </w:rPr>
            </w:pPr>
            <w:r w:rsidRPr="00A92155">
              <w:rPr>
                <w:rFonts w:ascii="Times New Roman" w:eastAsia="Times New Roman" w:hAnsi="Times New Roman" w:cs="Times New Roman"/>
                <w:sz w:val="24"/>
                <w:szCs w:val="24"/>
                <w:lang w:eastAsia="lv-LV"/>
              </w:rPr>
              <w:t xml:space="preserve">Rīgā </w:t>
            </w:r>
            <w:r>
              <w:rPr>
                <w:rFonts w:ascii="Times New Roman" w:eastAsia="Calibri" w:hAnsi="Times New Roman" w:cs="Times New Roman"/>
                <w:i/>
                <w:color w:val="000000" w:themeColor="text1"/>
                <w:sz w:val="24"/>
              </w:rPr>
              <w:t>(norādīt pieņemšanas punktu adreses un kontaktinformāciju)</w:t>
            </w:r>
          </w:p>
          <w:p w:rsidR="0070307B" w:rsidRPr="00A92155" w:rsidRDefault="0070307B" w:rsidP="00F0753E">
            <w:pPr>
              <w:rPr>
                <w:rFonts w:ascii="Times New Roman" w:eastAsia="Times New Roman" w:hAnsi="Times New Roman" w:cs="Times New Roman"/>
                <w:sz w:val="24"/>
                <w:szCs w:val="24"/>
                <w:lang w:eastAsia="lv-LV"/>
              </w:rPr>
            </w:pP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166B5C">
        <w:trPr>
          <w:trHeight w:val="1701"/>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A92155" w:rsidRDefault="0070307B" w:rsidP="00F0753E">
            <w:pPr>
              <w:rPr>
                <w:rFonts w:ascii="Times New Roman" w:eastAsia="Times New Roman" w:hAnsi="Times New Roman" w:cs="Times New Roman"/>
                <w:sz w:val="24"/>
                <w:szCs w:val="24"/>
                <w:lang w:eastAsia="lv-LV"/>
              </w:rPr>
            </w:pPr>
            <w:r w:rsidRPr="00A92155">
              <w:rPr>
                <w:rFonts w:ascii="Times New Roman" w:eastAsia="Times New Roman" w:hAnsi="Times New Roman" w:cs="Times New Roman"/>
                <w:sz w:val="24"/>
                <w:szCs w:val="24"/>
                <w:lang w:eastAsia="lv-LV"/>
              </w:rPr>
              <w:t xml:space="preserve">citās Latvijas pilsētās </w:t>
            </w:r>
            <w:r>
              <w:rPr>
                <w:rFonts w:ascii="Times New Roman" w:eastAsia="Calibri" w:hAnsi="Times New Roman" w:cs="Times New Roman"/>
                <w:i/>
                <w:color w:val="000000" w:themeColor="text1"/>
                <w:sz w:val="24"/>
              </w:rPr>
              <w:t xml:space="preserve">(norādīt pieņemšanas punktu adreses un </w:t>
            </w:r>
            <w:bookmarkStart w:id="0" w:name="_GoBack"/>
            <w:bookmarkEnd w:id="0"/>
            <w:r>
              <w:rPr>
                <w:rFonts w:ascii="Times New Roman" w:eastAsia="Calibri" w:hAnsi="Times New Roman" w:cs="Times New Roman"/>
                <w:i/>
                <w:color w:val="000000" w:themeColor="text1"/>
                <w:sz w:val="24"/>
              </w:rPr>
              <w:t>kontaktinformāciju)</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70307B" w:rsidRPr="00A56A02" w:rsidTr="00085109">
        <w:trPr>
          <w:trHeight w:val="567"/>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0"/>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9695" w:type="dxa"/>
            <w:gridSpan w:val="2"/>
            <w:tcBorders>
              <w:top w:val="nil"/>
              <w:left w:val="nil"/>
              <w:bottom w:val="single" w:sz="4" w:space="0" w:color="auto"/>
              <w:right w:val="single" w:sz="4" w:space="0" w:color="auto"/>
            </w:tcBorders>
            <w:shd w:val="clear" w:color="auto" w:fill="auto"/>
          </w:tcPr>
          <w:p w:rsidR="0070307B" w:rsidRPr="007D1315" w:rsidRDefault="0070307B" w:rsidP="00F0753E">
            <w:pPr>
              <w:spacing w:after="0" w:line="240" w:lineRule="auto"/>
              <w:rPr>
                <w:rFonts w:ascii="Calibri" w:eastAsia="Times New Roman" w:hAnsi="Calibri" w:cs="Calibri"/>
                <w:color w:val="000000"/>
                <w:lang w:eastAsia="lv-LV"/>
              </w:rPr>
            </w:pPr>
            <w:r w:rsidRPr="00A85E2C">
              <w:rPr>
                <w:rFonts w:ascii="Times New Roman" w:eastAsia="Times New Roman" w:hAnsi="Times New Roman" w:cs="Times New Roman"/>
                <w:b/>
                <w:sz w:val="24"/>
                <w:szCs w:val="24"/>
                <w:lang w:eastAsia="lv-LV"/>
              </w:rPr>
              <w:t>Kvalitātes nodrošināšana un garantija</w:t>
            </w: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A92155" w:rsidRDefault="0070307B" w:rsidP="00F0753E">
            <w:pPr>
              <w:rPr>
                <w:rFonts w:ascii="Times New Roman" w:eastAsia="Times New Roman" w:hAnsi="Times New Roman" w:cs="Times New Roman"/>
                <w:sz w:val="24"/>
                <w:szCs w:val="24"/>
                <w:lang w:eastAsia="lv-LV"/>
              </w:rPr>
            </w:pPr>
            <w:r w:rsidRPr="00A92155">
              <w:rPr>
                <w:rFonts w:ascii="Times New Roman" w:eastAsia="Times New Roman" w:hAnsi="Times New Roman" w:cs="Times New Roman"/>
                <w:sz w:val="24"/>
                <w:szCs w:val="24"/>
                <w:lang w:eastAsia="lv-LV"/>
              </w:rPr>
              <w:t>Pēc remonta izstrādājumam jāatbilst</w:t>
            </w:r>
            <w:r>
              <w:rPr>
                <w:rFonts w:ascii="Times New Roman" w:eastAsia="Times New Roman" w:hAnsi="Times New Roman" w:cs="Times New Roman"/>
                <w:sz w:val="24"/>
                <w:szCs w:val="24"/>
                <w:lang w:eastAsia="lv-LV"/>
              </w:rPr>
              <w:t xml:space="preserve"> </w:t>
            </w:r>
            <w:r w:rsidRPr="00A92155">
              <w:rPr>
                <w:rFonts w:ascii="Times New Roman" w:eastAsia="Times New Roman" w:hAnsi="Times New Roman" w:cs="Times New Roman"/>
                <w:sz w:val="24"/>
                <w:szCs w:val="24"/>
                <w:lang w:eastAsia="lv-LV"/>
              </w:rPr>
              <w:t>tād</w:t>
            </w:r>
            <w:r>
              <w:rPr>
                <w:rFonts w:ascii="Times New Roman" w:eastAsia="Times New Roman" w:hAnsi="Times New Roman" w:cs="Times New Roman"/>
                <w:sz w:val="24"/>
                <w:szCs w:val="24"/>
                <w:lang w:eastAsia="lv-LV"/>
              </w:rPr>
              <w:t>am</w:t>
            </w:r>
            <w:r w:rsidRPr="00A92155">
              <w:rPr>
                <w:rFonts w:ascii="Times New Roman" w:eastAsia="Times New Roman" w:hAnsi="Times New Roman" w:cs="Times New Roman"/>
                <w:sz w:val="24"/>
                <w:szCs w:val="24"/>
                <w:lang w:eastAsia="lv-LV"/>
              </w:rPr>
              <w:t xml:space="preserve"> pa</w:t>
            </w:r>
            <w:r>
              <w:rPr>
                <w:rFonts w:ascii="Times New Roman" w:eastAsia="Times New Roman" w:hAnsi="Times New Roman" w:cs="Times New Roman"/>
                <w:sz w:val="24"/>
                <w:szCs w:val="24"/>
                <w:lang w:eastAsia="lv-LV"/>
              </w:rPr>
              <w:t>šam</w:t>
            </w:r>
            <w:r w:rsidRPr="00A92155">
              <w:rPr>
                <w:rFonts w:ascii="Times New Roman" w:eastAsia="Times New Roman" w:hAnsi="Times New Roman" w:cs="Times New Roman"/>
                <w:sz w:val="24"/>
                <w:szCs w:val="24"/>
                <w:lang w:eastAsia="lv-LV"/>
              </w:rPr>
              <w:t xml:space="preserve"> lietošanas drošuma un funkcionalitātes līmeni</w:t>
            </w:r>
            <w:r>
              <w:rPr>
                <w:rFonts w:ascii="Times New Roman" w:eastAsia="Times New Roman" w:hAnsi="Times New Roman" w:cs="Times New Roman"/>
                <w:sz w:val="24"/>
                <w:szCs w:val="24"/>
                <w:lang w:eastAsia="lv-LV"/>
              </w:rPr>
              <w:t>m</w:t>
            </w:r>
            <w:r w:rsidRPr="00A92155">
              <w:rPr>
                <w:rFonts w:ascii="Times New Roman" w:eastAsia="Times New Roman" w:hAnsi="Times New Roman" w:cs="Times New Roman"/>
                <w:sz w:val="24"/>
                <w:szCs w:val="24"/>
                <w:lang w:eastAsia="lv-LV"/>
              </w:rPr>
              <w:t>, kādu paredzējis aizsargtērpa ražotājs, nemazinot aizsardzības īpašības.</w:t>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r w:rsidR="00A55DC8"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A55DC8" w:rsidRPr="0070307B" w:rsidRDefault="00A55DC8"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A55DC8" w:rsidRPr="00A92155" w:rsidRDefault="00A55DC8" w:rsidP="00F0753E">
            <w:pPr>
              <w:rPr>
                <w:rFonts w:ascii="Times New Roman" w:eastAsia="Times New Roman" w:hAnsi="Times New Roman" w:cs="Times New Roman"/>
                <w:sz w:val="24"/>
                <w:szCs w:val="24"/>
                <w:lang w:eastAsia="lv-LV"/>
              </w:rPr>
            </w:pPr>
            <w:r w:rsidRPr="0070307B">
              <w:rPr>
                <w:rFonts w:ascii="Times New Roman" w:eastAsia="Times New Roman" w:hAnsi="Times New Roman" w:cs="Times New Roman"/>
                <w:sz w:val="24"/>
                <w:szCs w:val="24"/>
                <w:lang w:eastAsia="lv-LV"/>
              </w:rPr>
              <w:t>Pakalpojuma sniedzējam jānodrošina vismaz 6 (sešu) mēnešu garantija veiktajiem remontdarbiem.</w:t>
            </w:r>
          </w:p>
        </w:tc>
        <w:tc>
          <w:tcPr>
            <w:tcW w:w="4819" w:type="dxa"/>
            <w:tcBorders>
              <w:top w:val="nil"/>
              <w:left w:val="nil"/>
              <w:bottom w:val="single" w:sz="4" w:space="0" w:color="auto"/>
              <w:right w:val="single" w:sz="4" w:space="0" w:color="auto"/>
            </w:tcBorders>
            <w:shd w:val="clear" w:color="auto" w:fill="auto"/>
            <w:noWrap/>
            <w:vAlign w:val="bottom"/>
          </w:tcPr>
          <w:p w:rsidR="00A55DC8" w:rsidRPr="007D1315" w:rsidRDefault="00A55DC8" w:rsidP="00F0753E">
            <w:pPr>
              <w:spacing w:after="0" w:line="240" w:lineRule="auto"/>
              <w:rPr>
                <w:rFonts w:ascii="Calibri" w:eastAsia="Times New Roman" w:hAnsi="Calibri" w:cs="Calibri"/>
                <w:color w:val="000000"/>
                <w:lang w:eastAsia="lv-LV"/>
              </w:rPr>
            </w:pPr>
          </w:p>
        </w:tc>
      </w:tr>
      <w:tr w:rsidR="00A55DC8" w:rsidRPr="00A56A02" w:rsidTr="00330970">
        <w:trPr>
          <w:trHeight w:val="567"/>
        </w:trPr>
        <w:tc>
          <w:tcPr>
            <w:tcW w:w="737" w:type="dxa"/>
            <w:tcBorders>
              <w:top w:val="nil"/>
              <w:left w:val="single" w:sz="4" w:space="0" w:color="auto"/>
              <w:bottom w:val="single" w:sz="4" w:space="0" w:color="auto"/>
              <w:right w:val="single" w:sz="4" w:space="0" w:color="auto"/>
            </w:tcBorders>
            <w:shd w:val="clear" w:color="auto" w:fill="auto"/>
            <w:noWrap/>
            <w:vAlign w:val="center"/>
          </w:tcPr>
          <w:p w:rsidR="00A55DC8" w:rsidRPr="0070307B" w:rsidRDefault="00A55DC8" w:rsidP="00A55DC8">
            <w:pPr>
              <w:pStyle w:val="ListParagraph"/>
              <w:numPr>
                <w:ilvl w:val="0"/>
                <w:numId w:val="25"/>
              </w:numPr>
              <w:spacing w:after="0" w:line="240" w:lineRule="auto"/>
              <w:jc w:val="center"/>
              <w:rPr>
                <w:rFonts w:ascii="Times New Roman" w:eastAsia="Times New Roman" w:hAnsi="Times New Roman" w:cs="Times New Roman"/>
                <w:sz w:val="20"/>
                <w:szCs w:val="20"/>
                <w:lang w:eastAsia="lv-LV"/>
              </w:rPr>
            </w:pPr>
          </w:p>
        </w:tc>
        <w:tc>
          <w:tcPr>
            <w:tcW w:w="9695" w:type="dxa"/>
            <w:gridSpan w:val="2"/>
            <w:tcBorders>
              <w:top w:val="nil"/>
              <w:left w:val="nil"/>
              <w:bottom w:val="single" w:sz="4" w:space="0" w:color="auto"/>
              <w:right w:val="single" w:sz="4" w:space="0" w:color="auto"/>
            </w:tcBorders>
            <w:shd w:val="clear" w:color="auto" w:fill="auto"/>
          </w:tcPr>
          <w:p w:rsidR="00A55DC8" w:rsidRPr="007D1315" w:rsidRDefault="00A55DC8" w:rsidP="00F0753E">
            <w:pPr>
              <w:spacing w:after="0" w:line="240" w:lineRule="auto"/>
              <w:rPr>
                <w:rFonts w:ascii="Calibri" w:eastAsia="Times New Roman" w:hAnsi="Calibri" w:cs="Calibri"/>
                <w:color w:val="000000"/>
                <w:lang w:eastAsia="lv-LV"/>
              </w:rPr>
            </w:pPr>
            <w:r w:rsidRPr="00A55DC8">
              <w:rPr>
                <w:rFonts w:ascii="Times New Roman" w:eastAsia="Times New Roman" w:hAnsi="Times New Roman" w:cs="Times New Roman"/>
                <w:b/>
                <w:sz w:val="24"/>
                <w:szCs w:val="24"/>
                <w:lang w:eastAsia="lv-LV"/>
              </w:rPr>
              <w:t>Informatīvs attēls:</w:t>
            </w:r>
          </w:p>
        </w:tc>
      </w:tr>
      <w:tr w:rsidR="0070307B" w:rsidRPr="00A56A02" w:rsidTr="00853135">
        <w:trPr>
          <w:trHeight w:val="1020"/>
        </w:trPr>
        <w:tc>
          <w:tcPr>
            <w:tcW w:w="737" w:type="dxa"/>
            <w:tcBorders>
              <w:top w:val="nil"/>
              <w:left w:val="single" w:sz="4" w:space="0" w:color="auto"/>
              <w:bottom w:val="single" w:sz="4" w:space="0" w:color="auto"/>
              <w:right w:val="single" w:sz="4" w:space="0" w:color="auto"/>
            </w:tcBorders>
            <w:shd w:val="clear" w:color="auto" w:fill="auto"/>
            <w:noWrap/>
            <w:vAlign w:val="center"/>
          </w:tcPr>
          <w:p w:rsidR="0070307B" w:rsidRPr="0070307B" w:rsidRDefault="0070307B" w:rsidP="00C63014">
            <w:pPr>
              <w:pStyle w:val="ListParagraph"/>
              <w:numPr>
                <w:ilvl w:val="1"/>
                <w:numId w:val="25"/>
              </w:numPr>
              <w:spacing w:after="0" w:line="240" w:lineRule="auto"/>
              <w:ind w:left="57" w:firstLine="0"/>
              <w:jc w:val="center"/>
              <w:rPr>
                <w:rFonts w:ascii="Times New Roman" w:eastAsia="Times New Roman" w:hAnsi="Times New Roman" w:cs="Times New Roman"/>
                <w:sz w:val="20"/>
                <w:szCs w:val="20"/>
                <w:lang w:eastAsia="lv-LV"/>
              </w:rPr>
            </w:pPr>
          </w:p>
        </w:tc>
        <w:tc>
          <w:tcPr>
            <w:tcW w:w="4876" w:type="dxa"/>
            <w:tcBorders>
              <w:top w:val="nil"/>
              <w:left w:val="nil"/>
              <w:bottom w:val="single" w:sz="4" w:space="0" w:color="auto"/>
              <w:right w:val="single" w:sz="4" w:space="0" w:color="auto"/>
            </w:tcBorders>
            <w:shd w:val="clear" w:color="auto" w:fill="auto"/>
          </w:tcPr>
          <w:p w:rsidR="0070307B" w:rsidRPr="00A92155" w:rsidRDefault="00A55DC8" w:rsidP="00F0753E">
            <w:pPr>
              <w:rPr>
                <w:rFonts w:ascii="Times New Roman" w:eastAsia="Times New Roman" w:hAnsi="Times New Roman" w:cs="Times New Roman"/>
                <w:sz w:val="24"/>
                <w:szCs w:val="24"/>
                <w:lang w:eastAsia="lv-LV"/>
              </w:rPr>
            </w:pPr>
            <w:r>
              <w:rPr>
                <w:rFonts w:ascii="Times New Roman" w:hAnsi="Times New Roman" w:cs="Times New Roman"/>
                <w:noProof/>
                <w:sz w:val="24"/>
                <w:lang w:eastAsia="lv-LV"/>
              </w:rPr>
              <w:drawing>
                <wp:inline distT="0" distB="0" distL="0" distR="0" wp14:anchorId="33B2F2D3" wp14:editId="731A62DD">
                  <wp:extent cx="1077349" cy="1332000"/>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k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7349" cy="1332000"/>
                          </a:xfrm>
                          <a:prstGeom prst="rect">
                            <a:avLst/>
                          </a:prstGeom>
                        </pic:spPr>
                      </pic:pic>
                    </a:graphicData>
                  </a:graphic>
                </wp:inline>
              </w:drawing>
            </w:r>
            <w:r>
              <w:rPr>
                <w:rFonts w:ascii="Times New Roman" w:hAnsi="Times New Roman" w:cs="Times New Roman"/>
                <w:noProof/>
                <w:sz w:val="24"/>
                <w:lang w:eastAsia="lv-LV"/>
              </w:rPr>
              <w:drawing>
                <wp:inline distT="0" distB="0" distL="0" distR="0" wp14:anchorId="58FE08F2" wp14:editId="24AA084D">
                  <wp:extent cx="794136" cy="169200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ks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136" cy="1692000"/>
                          </a:xfrm>
                          <a:prstGeom prst="rect">
                            <a:avLst/>
                          </a:prstGeom>
                        </pic:spPr>
                      </pic:pic>
                    </a:graphicData>
                  </a:graphic>
                </wp:inline>
              </w:drawing>
            </w:r>
          </w:p>
        </w:tc>
        <w:tc>
          <w:tcPr>
            <w:tcW w:w="4819" w:type="dxa"/>
            <w:tcBorders>
              <w:top w:val="nil"/>
              <w:left w:val="nil"/>
              <w:bottom w:val="single" w:sz="4" w:space="0" w:color="auto"/>
              <w:right w:val="single" w:sz="4" w:space="0" w:color="auto"/>
            </w:tcBorders>
            <w:shd w:val="clear" w:color="auto" w:fill="auto"/>
            <w:noWrap/>
            <w:vAlign w:val="bottom"/>
          </w:tcPr>
          <w:p w:rsidR="0070307B" w:rsidRPr="007D1315" w:rsidRDefault="0070307B" w:rsidP="00F0753E">
            <w:pPr>
              <w:spacing w:after="0" w:line="240" w:lineRule="auto"/>
              <w:rPr>
                <w:rFonts w:ascii="Calibri" w:eastAsia="Times New Roman" w:hAnsi="Calibri" w:cs="Calibri"/>
                <w:color w:val="000000"/>
                <w:lang w:eastAsia="lv-LV"/>
              </w:rPr>
            </w:pPr>
          </w:p>
        </w:tc>
      </w:tr>
    </w:tbl>
    <w:p w:rsidR="0070307B" w:rsidRDefault="0070307B" w:rsidP="007D1315">
      <w:pPr>
        <w:spacing w:after="120" w:line="240" w:lineRule="auto"/>
        <w:jc w:val="center"/>
        <w:rPr>
          <w:rFonts w:ascii="Times New Roman" w:eastAsia="Times New Roman" w:hAnsi="Times New Roman" w:cs="Times New Roman"/>
          <w:b/>
          <w:sz w:val="26"/>
          <w:szCs w:val="26"/>
          <w:lang w:eastAsia="lv-LV"/>
        </w:rPr>
        <w:sectPr w:rsidR="0070307B" w:rsidSect="006D6CE4">
          <w:headerReference w:type="default" r:id="rId9"/>
          <w:pgSz w:w="11906" w:h="16838"/>
          <w:pgMar w:top="720" w:right="720" w:bottom="720" w:left="720" w:header="709" w:footer="709" w:gutter="0"/>
          <w:cols w:space="708"/>
          <w:titlePg/>
          <w:docGrid w:linePitch="360"/>
        </w:sectPr>
      </w:pPr>
    </w:p>
    <w:p w:rsidR="0062770E" w:rsidRPr="002B1EA2" w:rsidRDefault="0062770E" w:rsidP="007D1315">
      <w:pPr>
        <w:spacing w:after="120" w:line="240" w:lineRule="auto"/>
        <w:jc w:val="center"/>
        <w:rPr>
          <w:rFonts w:ascii="Times New Roman" w:eastAsia="Times New Roman" w:hAnsi="Times New Roman" w:cs="Times New Roman"/>
          <w:b/>
          <w:sz w:val="26"/>
          <w:szCs w:val="26"/>
          <w:lang w:eastAsia="lv-LV"/>
        </w:rPr>
      </w:pPr>
      <w:r w:rsidRPr="002B1EA2">
        <w:rPr>
          <w:rFonts w:ascii="Times New Roman" w:eastAsia="Times New Roman" w:hAnsi="Times New Roman" w:cs="Times New Roman"/>
          <w:b/>
          <w:sz w:val="26"/>
          <w:szCs w:val="26"/>
          <w:lang w:eastAsia="lv-LV"/>
        </w:rPr>
        <w:lastRenderedPageBreak/>
        <w:t>FINANŠU PIEDĀVĀJUMA FORMA</w:t>
      </w:r>
    </w:p>
    <w:p w:rsidR="0062770E" w:rsidRPr="002B1EA2" w:rsidRDefault="0062770E" w:rsidP="0062770E">
      <w:pPr>
        <w:ind w:right="90"/>
        <w:jc w:val="both"/>
        <w:rPr>
          <w:rFonts w:ascii="Times New Roman" w:eastAsia="Calibri" w:hAnsi="Times New Roman" w:cs="Times New Roman"/>
          <w:color w:val="000000"/>
          <w:sz w:val="24"/>
          <w:szCs w:val="24"/>
        </w:rPr>
      </w:pPr>
      <w:r w:rsidRPr="002B1EA2">
        <w:rPr>
          <w:rFonts w:ascii="Times New Roman" w:eastAsia="Calibri" w:hAnsi="Times New Roman" w:cs="Times New Roman"/>
          <w:color w:val="000000"/>
          <w:sz w:val="24"/>
          <w:szCs w:val="24"/>
        </w:rPr>
        <w:t>Finanšu piedāvājuma cenā ietilpst visas ar tehniskajā specifikācijā noteikto prasību izpildi saistītās izmaksas, kā arī visas ar to netieši saistītās izmaksas (personāla izmaksas, piegādes, transporta pakalpojumi u.c.).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7302"/>
        <w:gridCol w:w="1985"/>
      </w:tblGrid>
      <w:tr w:rsidR="00C63014" w:rsidRPr="002B1EA2" w:rsidTr="00C63014">
        <w:trPr>
          <w:trHeight w:val="680"/>
        </w:trPr>
        <w:tc>
          <w:tcPr>
            <w:tcW w:w="559" w:type="pct"/>
            <w:shd w:val="clear" w:color="auto" w:fill="E2EFD9" w:themeFill="accent6" w:themeFillTint="33"/>
            <w:vAlign w:val="center"/>
          </w:tcPr>
          <w:p w:rsidR="00C63014" w:rsidRPr="00D06D2A" w:rsidRDefault="00C63014" w:rsidP="008E50CC">
            <w:pPr>
              <w:spacing w:after="0" w:line="240" w:lineRule="auto"/>
              <w:jc w:val="center"/>
              <w:rPr>
                <w:rFonts w:ascii="Times New Roman" w:eastAsia="Times New Roman" w:hAnsi="Times New Roman" w:cs="Times New Roman"/>
                <w:b/>
                <w:sz w:val="24"/>
                <w:szCs w:val="24"/>
                <w:lang w:eastAsia="lv-LV"/>
              </w:rPr>
            </w:pPr>
            <w:r w:rsidRPr="00D06D2A">
              <w:rPr>
                <w:rFonts w:ascii="Times New Roman" w:eastAsia="Times New Roman" w:hAnsi="Times New Roman" w:cs="Times New Roman"/>
                <w:b/>
                <w:sz w:val="24"/>
                <w:szCs w:val="24"/>
                <w:lang w:eastAsia="lv-LV"/>
              </w:rPr>
              <w:t>Nr.</w:t>
            </w:r>
          </w:p>
          <w:p w:rsidR="00C63014" w:rsidRPr="00D06D2A" w:rsidRDefault="00C63014" w:rsidP="008E50CC">
            <w:pPr>
              <w:spacing w:after="0" w:line="240" w:lineRule="auto"/>
              <w:jc w:val="center"/>
              <w:rPr>
                <w:rFonts w:ascii="Times New Roman" w:eastAsia="Times New Roman" w:hAnsi="Times New Roman" w:cs="Times New Roman"/>
                <w:b/>
                <w:sz w:val="24"/>
                <w:szCs w:val="24"/>
                <w:lang w:eastAsia="lv-LV"/>
              </w:rPr>
            </w:pPr>
            <w:r w:rsidRPr="00D06D2A">
              <w:rPr>
                <w:rFonts w:ascii="Times New Roman" w:eastAsia="Times New Roman" w:hAnsi="Times New Roman" w:cs="Times New Roman"/>
                <w:b/>
                <w:sz w:val="24"/>
                <w:szCs w:val="24"/>
                <w:lang w:eastAsia="lv-LV"/>
              </w:rPr>
              <w:t>p.k.</w:t>
            </w:r>
          </w:p>
        </w:tc>
        <w:tc>
          <w:tcPr>
            <w:tcW w:w="3492" w:type="pct"/>
            <w:shd w:val="clear" w:color="auto" w:fill="E2EFD9" w:themeFill="accent6" w:themeFillTint="33"/>
            <w:vAlign w:val="center"/>
          </w:tcPr>
          <w:p w:rsidR="00C63014" w:rsidRPr="00D06D2A" w:rsidRDefault="00C63014" w:rsidP="008E50CC">
            <w:pPr>
              <w:spacing w:after="0" w:line="240" w:lineRule="auto"/>
              <w:jc w:val="center"/>
              <w:rPr>
                <w:rFonts w:ascii="Times New Roman" w:eastAsia="Times New Roman" w:hAnsi="Times New Roman" w:cs="Times New Roman"/>
                <w:b/>
                <w:sz w:val="24"/>
                <w:szCs w:val="24"/>
                <w:lang w:eastAsia="lv-LV"/>
              </w:rPr>
            </w:pPr>
            <w:r w:rsidRPr="00D06D2A">
              <w:rPr>
                <w:rFonts w:ascii="Times New Roman" w:eastAsia="Times New Roman" w:hAnsi="Times New Roman" w:cs="Times New Roman"/>
                <w:b/>
                <w:sz w:val="24"/>
                <w:szCs w:val="24"/>
                <w:lang w:eastAsia="lv-LV"/>
              </w:rPr>
              <w:t>Prece</w:t>
            </w:r>
          </w:p>
        </w:tc>
        <w:tc>
          <w:tcPr>
            <w:tcW w:w="949" w:type="pct"/>
            <w:shd w:val="clear" w:color="auto" w:fill="E2EFD9" w:themeFill="accent6" w:themeFillTint="33"/>
          </w:tcPr>
          <w:p w:rsidR="00C63014" w:rsidRPr="00D06D2A" w:rsidRDefault="00C63014" w:rsidP="00C82BBD">
            <w:pPr>
              <w:spacing w:after="0" w:line="240" w:lineRule="auto"/>
              <w:jc w:val="center"/>
              <w:rPr>
                <w:rFonts w:ascii="Times New Roman" w:eastAsia="Times New Roman" w:hAnsi="Times New Roman" w:cs="Times New Roman"/>
                <w:sz w:val="24"/>
                <w:szCs w:val="24"/>
                <w:lang w:eastAsia="lv-LV"/>
              </w:rPr>
            </w:pPr>
            <w:r w:rsidRPr="0093584F">
              <w:rPr>
                <w:rFonts w:ascii="Times New Roman" w:eastAsia="Times New Roman" w:hAnsi="Times New Roman" w:cs="Times New Roman"/>
                <w:b/>
                <w:sz w:val="24"/>
                <w:szCs w:val="24"/>
                <w:lang w:eastAsia="lv-LV"/>
              </w:rPr>
              <w:t>Cena par vienu vienību EUR bez PVN</w:t>
            </w:r>
          </w:p>
        </w:tc>
      </w:tr>
      <w:tr w:rsidR="00C63014" w:rsidRPr="002B1EA2" w:rsidTr="00C63014">
        <w:trPr>
          <w:trHeight w:val="352"/>
        </w:trPr>
        <w:tc>
          <w:tcPr>
            <w:tcW w:w="559" w:type="pct"/>
            <w:shd w:val="clear" w:color="auto" w:fill="auto"/>
            <w:vAlign w:val="center"/>
          </w:tcPr>
          <w:p w:rsidR="00C63014" w:rsidRPr="0067656F" w:rsidRDefault="00C63014" w:rsidP="00C63014">
            <w:pPr>
              <w:numPr>
                <w:ilvl w:val="0"/>
                <w:numId w:val="1"/>
              </w:numPr>
              <w:spacing w:after="0" w:line="240" w:lineRule="auto"/>
              <w:contextualSpacing/>
              <w:jc w:val="center"/>
              <w:rPr>
                <w:rFonts w:ascii="Times New Roman" w:eastAsia="Times New Roman" w:hAnsi="Times New Roman" w:cs="Times New Roman"/>
                <w:sz w:val="24"/>
                <w:szCs w:val="24"/>
                <w:lang w:val="x-none" w:eastAsia="lv-LV"/>
              </w:rPr>
            </w:pPr>
          </w:p>
        </w:tc>
        <w:tc>
          <w:tcPr>
            <w:tcW w:w="3492" w:type="pct"/>
            <w:shd w:val="clear" w:color="auto" w:fill="auto"/>
          </w:tcPr>
          <w:p w:rsidR="00C63014" w:rsidRPr="00C63014" w:rsidRDefault="00C63014" w:rsidP="00C63014">
            <w:pPr>
              <w:rPr>
                <w:rFonts w:ascii="Times New Roman" w:hAnsi="Times New Roman" w:cs="Times New Roman"/>
              </w:rPr>
            </w:pPr>
            <w:r w:rsidRPr="00C63014">
              <w:rPr>
                <w:rFonts w:ascii="Times New Roman" w:hAnsi="Times New Roman" w:cs="Times New Roman"/>
              </w:rPr>
              <w:t xml:space="preserve">Ugunsdzēsēju aizsargtērpa virsjakas bojātā rāvējslēdzēja nomaiņa </w:t>
            </w:r>
          </w:p>
        </w:tc>
        <w:tc>
          <w:tcPr>
            <w:tcW w:w="949" w:type="pct"/>
            <w:vAlign w:val="center"/>
          </w:tcPr>
          <w:p w:rsidR="00C63014" w:rsidRPr="0067656F" w:rsidRDefault="00C63014" w:rsidP="00C63014">
            <w:pPr>
              <w:spacing w:after="0" w:line="240" w:lineRule="auto"/>
              <w:jc w:val="center"/>
              <w:rPr>
                <w:rFonts w:ascii="Times New Roman" w:eastAsia="Times New Roman" w:hAnsi="Times New Roman" w:cs="Times New Roman"/>
                <w:sz w:val="24"/>
                <w:szCs w:val="24"/>
                <w:lang w:eastAsia="lv-LV"/>
              </w:rPr>
            </w:pPr>
          </w:p>
        </w:tc>
      </w:tr>
      <w:tr w:rsidR="00C63014" w:rsidRPr="002B1EA2" w:rsidTr="00C63014">
        <w:trPr>
          <w:trHeight w:val="352"/>
        </w:trPr>
        <w:tc>
          <w:tcPr>
            <w:tcW w:w="559" w:type="pct"/>
            <w:shd w:val="clear" w:color="auto" w:fill="auto"/>
            <w:vAlign w:val="center"/>
          </w:tcPr>
          <w:p w:rsidR="00C63014" w:rsidRPr="0067656F" w:rsidRDefault="00C63014" w:rsidP="00C63014">
            <w:pPr>
              <w:numPr>
                <w:ilvl w:val="0"/>
                <w:numId w:val="1"/>
              </w:numPr>
              <w:spacing w:after="0" w:line="240" w:lineRule="auto"/>
              <w:contextualSpacing/>
              <w:jc w:val="center"/>
              <w:rPr>
                <w:rFonts w:ascii="Times New Roman" w:eastAsia="Times New Roman" w:hAnsi="Times New Roman" w:cs="Times New Roman"/>
                <w:sz w:val="24"/>
                <w:szCs w:val="24"/>
                <w:lang w:val="x-none" w:eastAsia="lv-LV"/>
              </w:rPr>
            </w:pPr>
          </w:p>
        </w:tc>
        <w:tc>
          <w:tcPr>
            <w:tcW w:w="3492" w:type="pct"/>
            <w:shd w:val="clear" w:color="auto" w:fill="auto"/>
          </w:tcPr>
          <w:p w:rsidR="00C63014" w:rsidRPr="00C63014" w:rsidRDefault="00C63014" w:rsidP="00C63014">
            <w:pPr>
              <w:rPr>
                <w:rFonts w:ascii="Times New Roman" w:hAnsi="Times New Roman" w:cs="Times New Roman"/>
              </w:rPr>
            </w:pPr>
            <w:r w:rsidRPr="00C63014">
              <w:rPr>
                <w:rFonts w:ascii="Times New Roman" w:hAnsi="Times New Roman" w:cs="Times New Roman"/>
              </w:rPr>
              <w:t>Ugunsdzēsēju aizsargtērpa bikšu bojātā rāvējslēdzēja nomaiņa</w:t>
            </w:r>
          </w:p>
        </w:tc>
        <w:tc>
          <w:tcPr>
            <w:tcW w:w="949" w:type="pct"/>
            <w:vAlign w:val="center"/>
          </w:tcPr>
          <w:p w:rsidR="00C63014" w:rsidRPr="0067656F" w:rsidRDefault="00C63014" w:rsidP="00C63014">
            <w:pPr>
              <w:spacing w:after="0" w:line="240" w:lineRule="auto"/>
              <w:jc w:val="center"/>
              <w:rPr>
                <w:rFonts w:ascii="Times New Roman" w:eastAsia="Times New Roman" w:hAnsi="Times New Roman" w:cs="Times New Roman"/>
                <w:sz w:val="24"/>
                <w:szCs w:val="24"/>
                <w:lang w:eastAsia="lv-LV"/>
              </w:rPr>
            </w:pPr>
          </w:p>
        </w:tc>
      </w:tr>
      <w:tr w:rsidR="00C63014" w:rsidRPr="002B1EA2" w:rsidTr="00C63014">
        <w:trPr>
          <w:trHeight w:val="352"/>
        </w:trPr>
        <w:tc>
          <w:tcPr>
            <w:tcW w:w="559" w:type="pct"/>
            <w:shd w:val="clear" w:color="auto" w:fill="auto"/>
            <w:vAlign w:val="center"/>
          </w:tcPr>
          <w:p w:rsidR="00C63014" w:rsidRPr="0067656F" w:rsidRDefault="00C63014" w:rsidP="00C63014">
            <w:pPr>
              <w:numPr>
                <w:ilvl w:val="0"/>
                <w:numId w:val="1"/>
              </w:numPr>
              <w:spacing w:after="0" w:line="240" w:lineRule="auto"/>
              <w:contextualSpacing/>
              <w:jc w:val="center"/>
              <w:rPr>
                <w:rFonts w:ascii="Times New Roman" w:eastAsia="Times New Roman" w:hAnsi="Times New Roman" w:cs="Times New Roman"/>
                <w:sz w:val="24"/>
                <w:szCs w:val="24"/>
                <w:lang w:val="x-none" w:eastAsia="lv-LV"/>
              </w:rPr>
            </w:pPr>
          </w:p>
        </w:tc>
        <w:tc>
          <w:tcPr>
            <w:tcW w:w="3492" w:type="pct"/>
            <w:shd w:val="clear" w:color="auto" w:fill="auto"/>
          </w:tcPr>
          <w:p w:rsidR="00C63014" w:rsidRPr="00C63014" w:rsidRDefault="00C63014" w:rsidP="00C63014">
            <w:pPr>
              <w:rPr>
                <w:rFonts w:ascii="Times New Roman" w:hAnsi="Times New Roman" w:cs="Times New Roman"/>
              </w:rPr>
            </w:pPr>
            <w:r w:rsidRPr="00C63014">
              <w:rPr>
                <w:rFonts w:ascii="Times New Roman" w:hAnsi="Times New Roman" w:cs="Times New Roman"/>
              </w:rPr>
              <w:t>Ugunsdzēsēju aizsargtērpa bikšu siksnu fiksatora nomaiņa</w:t>
            </w:r>
          </w:p>
        </w:tc>
        <w:tc>
          <w:tcPr>
            <w:tcW w:w="949" w:type="pct"/>
            <w:vAlign w:val="center"/>
          </w:tcPr>
          <w:p w:rsidR="00C63014" w:rsidRPr="0067656F" w:rsidRDefault="00C63014" w:rsidP="00C63014">
            <w:pPr>
              <w:spacing w:after="0" w:line="240" w:lineRule="auto"/>
              <w:jc w:val="center"/>
              <w:rPr>
                <w:rFonts w:ascii="Times New Roman" w:eastAsia="Times New Roman" w:hAnsi="Times New Roman" w:cs="Times New Roman"/>
                <w:sz w:val="24"/>
                <w:szCs w:val="24"/>
                <w:lang w:eastAsia="lv-LV"/>
              </w:rPr>
            </w:pPr>
          </w:p>
        </w:tc>
      </w:tr>
      <w:tr w:rsidR="00C63014" w:rsidRPr="002B1EA2" w:rsidTr="00C63014">
        <w:trPr>
          <w:trHeight w:val="352"/>
        </w:trPr>
        <w:tc>
          <w:tcPr>
            <w:tcW w:w="559" w:type="pct"/>
            <w:shd w:val="clear" w:color="auto" w:fill="auto"/>
            <w:vAlign w:val="center"/>
          </w:tcPr>
          <w:p w:rsidR="00C63014" w:rsidRPr="0067656F" w:rsidRDefault="00C63014" w:rsidP="00C63014">
            <w:pPr>
              <w:numPr>
                <w:ilvl w:val="0"/>
                <w:numId w:val="1"/>
              </w:numPr>
              <w:spacing w:after="0" w:line="240" w:lineRule="auto"/>
              <w:contextualSpacing/>
              <w:jc w:val="center"/>
              <w:rPr>
                <w:rFonts w:ascii="Times New Roman" w:eastAsia="Times New Roman" w:hAnsi="Times New Roman" w:cs="Times New Roman"/>
                <w:sz w:val="24"/>
                <w:szCs w:val="24"/>
                <w:lang w:val="x-none" w:eastAsia="lv-LV"/>
              </w:rPr>
            </w:pPr>
          </w:p>
        </w:tc>
        <w:tc>
          <w:tcPr>
            <w:tcW w:w="3492" w:type="pct"/>
            <w:shd w:val="clear" w:color="auto" w:fill="auto"/>
          </w:tcPr>
          <w:p w:rsidR="00C63014" w:rsidRPr="00C63014" w:rsidRDefault="00C63014" w:rsidP="00C63014">
            <w:pPr>
              <w:rPr>
                <w:rFonts w:ascii="Times New Roman" w:hAnsi="Times New Roman" w:cs="Times New Roman"/>
              </w:rPr>
            </w:pPr>
            <w:r w:rsidRPr="00C63014">
              <w:rPr>
                <w:rFonts w:ascii="Times New Roman" w:hAnsi="Times New Roman" w:cs="Times New Roman"/>
              </w:rPr>
              <w:t>Vīles aizšūšana (10 cm)</w:t>
            </w:r>
          </w:p>
        </w:tc>
        <w:tc>
          <w:tcPr>
            <w:tcW w:w="949" w:type="pct"/>
            <w:vAlign w:val="center"/>
          </w:tcPr>
          <w:p w:rsidR="00C63014" w:rsidRPr="0067656F" w:rsidRDefault="00C63014" w:rsidP="00C63014">
            <w:pPr>
              <w:spacing w:after="0" w:line="240" w:lineRule="auto"/>
              <w:jc w:val="center"/>
              <w:rPr>
                <w:rFonts w:ascii="Times New Roman" w:eastAsia="Times New Roman" w:hAnsi="Times New Roman" w:cs="Times New Roman"/>
                <w:sz w:val="24"/>
                <w:szCs w:val="24"/>
                <w:lang w:eastAsia="lv-LV"/>
              </w:rPr>
            </w:pPr>
          </w:p>
        </w:tc>
      </w:tr>
      <w:tr w:rsidR="00C63014" w:rsidRPr="002B1EA2" w:rsidTr="00C63014">
        <w:trPr>
          <w:trHeight w:val="352"/>
        </w:trPr>
        <w:tc>
          <w:tcPr>
            <w:tcW w:w="559" w:type="pct"/>
            <w:shd w:val="clear" w:color="auto" w:fill="auto"/>
            <w:vAlign w:val="center"/>
          </w:tcPr>
          <w:p w:rsidR="00C63014" w:rsidRPr="0067656F" w:rsidRDefault="00C63014" w:rsidP="00C63014">
            <w:pPr>
              <w:numPr>
                <w:ilvl w:val="0"/>
                <w:numId w:val="1"/>
              </w:numPr>
              <w:spacing w:after="0" w:line="240" w:lineRule="auto"/>
              <w:contextualSpacing/>
              <w:jc w:val="center"/>
              <w:rPr>
                <w:rFonts w:ascii="Times New Roman" w:eastAsia="Times New Roman" w:hAnsi="Times New Roman" w:cs="Times New Roman"/>
                <w:sz w:val="24"/>
                <w:szCs w:val="24"/>
                <w:lang w:val="x-none" w:eastAsia="lv-LV"/>
              </w:rPr>
            </w:pPr>
          </w:p>
        </w:tc>
        <w:tc>
          <w:tcPr>
            <w:tcW w:w="3492" w:type="pct"/>
            <w:shd w:val="clear" w:color="auto" w:fill="auto"/>
          </w:tcPr>
          <w:p w:rsidR="00C63014" w:rsidRPr="00C63014" w:rsidRDefault="00C63014" w:rsidP="00C63014">
            <w:pPr>
              <w:rPr>
                <w:rFonts w:ascii="Times New Roman" w:hAnsi="Times New Roman" w:cs="Times New Roman"/>
              </w:rPr>
            </w:pPr>
            <w:r w:rsidRPr="00C63014">
              <w:rPr>
                <w:rFonts w:ascii="Times New Roman" w:hAnsi="Times New Roman" w:cs="Times New Roman"/>
              </w:rPr>
              <w:t>Vīles aizšūšana (20 cm)</w:t>
            </w:r>
          </w:p>
        </w:tc>
        <w:tc>
          <w:tcPr>
            <w:tcW w:w="949" w:type="pct"/>
            <w:vAlign w:val="center"/>
          </w:tcPr>
          <w:p w:rsidR="00C63014" w:rsidRPr="0067656F" w:rsidRDefault="00C63014" w:rsidP="00C63014">
            <w:pPr>
              <w:spacing w:after="0" w:line="240" w:lineRule="auto"/>
              <w:jc w:val="center"/>
              <w:rPr>
                <w:rFonts w:ascii="Times New Roman" w:eastAsia="Times New Roman" w:hAnsi="Times New Roman" w:cs="Times New Roman"/>
                <w:sz w:val="24"/>
                <w:szCs w:val="24"/>
                <w:lang w:eastAsia="lv-LV"/>
              </w:rPr>
            </w:pPr>
          </w:p>
        </w:tc>
      </w:tr>
      <w:tr w:rsidR="00C63014" w:rsidRPr="002B1EA2" w:rsidTr="00C63014">
        <w:trPr>
          <w:trHeight w:val="352"/>
        </w:trPr>
        <w:tc>
          <w:tcPr>
            <w:tcW w:w="559" w:type="pct"/>
            <w:shd w:val="clear" w:color="auto" w:fill="auto"/>
            <w:vAlign w:val="center"/>
          </w:tcPr>
          <w:p w:rsidR="00C63014" w:rsidRPr="0067656F" w:rsidRDefault="00C63014" w:rsidP="00C63014">
            <w:pPr>
              <w:numPr>
                <w:ilvl w:val="0"/>
                <w:numId w:val="1"/>
              </w:numPr>
              <w:spacing w:after="0" w:line="240" w:lineRule="auto"/>
              <w:contextualSpacing/>
              <w:jc w:val="center"/>
              <w:rPr>
                <w:rFonts w:ascii="Times New Roman" w:eastAsia="Times New Roman" w:hAnsi="Times New Roman" w:cs="Times New Roman"/>
                <w:sz w:val="24"/>
                <w:szCs w:val="24"/>
                <w:lang w:val="x-none" w:eastAsia="lv-LV"/>
              </w:rPr>
            </w:pPr>
          </w:p>
        </w:tc>
        <w:tc>
          <w:tcPr>
            <w:tcW w:w="3492" w:type="pct"/>
            <w:shd w:val="clear" w:color="auto" w:fill="auto"/>
          </w:tcPr>
          <w:p w:rsidR="00C63014" w:rsidRPr="00C63014" w:rsidRDefault="00C63014" w:rsidP="00C63014">
            <w:pPr>
              <w:rPr>
                <w:rFonts w:ascii="Times New Roman" w:hAnsi="Times New Roman" w:cs="Times New Roman"/>
              </w:rPr>
            </w:pPr>
            <w:r w:rsidRPr="00C63014">
              <w:rPr>
                <w:rFonts w:ascii="Times New Roman" w:hAnsi="Times New Roman" w:cs="Times New Roman"/>
              </w:rPr>
              <w:t>Vīles aizšūšana (30 cm)</w:t>
            </w:r>
          </w:p>
        </w:tc>
        <w:tc>
          <w:tcPr>
            <w:tcW w:w="949" w:type="pct"/>
            <w:vAlign w:val="center"/>
          </w:tcPr>
          <w:p w:rsidR="00C63014" w:rsidRPr="0067656F" w:rsidRDefault="00C63014" w:rsidP="00C63014">
            <w:pPr>
              <w:spacing w:after="0" w:line="240" w:lineRule="auto"/>
              <w:jc w:val="center"/>
              <w:rPr>
                <w:rFonts w:ascii="Times New Roman" w:eastAsia="Times New Roman" w:hAnsi="Times New Roman" w:cs="Times New Roman"/>
                <w:sz w:val="24"/>
                <w:szCs w:val="24"/>
                <w:lang w:eastAsia="lv-LV"/>
              </w:rPr>
            </w:pPr>
          </w:p>
        </w:tc>
      </w:tr>
      <w:tr w:rsidR="00C63014" w:rsidRPr="002B1EA2" w:rsidTr="00C63014">
        <w:trPr>
          <w:trHeight w:val="352"/>
        </w:trPr>
        <w:tc>
          <w:tcPr>
            <w:tcW w:w="559" w:type="pct"/>
            <w:shd w:val="clear" w:color="auto" w:fill="auto"/>
            <w:vAlign w:val="center"/>
          </w:tcPr>
          <w:p w:rsidR="00C63014" w:rsidRPr="0067656F" w:rsidRDefault="00C63014" w:rsidP="00C63014">
            <w:pPr>
              <w:numPr>
                <w:ilvl w:val="0"/>
                <w:numId w:val="1"/>
              </w:numPr>
              <w:spacing w:after="0" w:line="240" w:lineRule="auto"/>
              <w:contextualSpacing/>
              <w:jc w:val="center"/>
              <w:rPr>
                <w:rFonts w:ascii="Times New Roman" w:eastAsia="Times New Roman" w:hAnsi="Times New Roman" w:cs="Times New Roman"/>
                <w:sz w:val="24"/>
                <w:szCs w:val="24"/>
                <w:lang w:val="x-none" w:eastAsia="lv-LV"/>
              </w:rPr>
            </w:pPr>
          </w:p>
        </w:tc>
        <w:tc>
          <w:tcPr>
            <w:tcW w:w="3492" w:type="pct"/>
            <w:shd w:val="clear" w:color="auto" w:fill="auto"/>
          </w:tcPr>
          <w:p w:rsidR="00C63014" w:rsidRPr="00C63014" w:rsidRDefault="00C63014" w:rsidP="00C63014">
            <w:pPr>
              <w:rPr>
                <w:rFonts w:ascii="Times New Roman" w:hAnsi="Times New Roman" w:cs="Times New Roman"/>
              </w:rPr>
            </w:pPr>
            <w:r w:rsidRPr="00C63014">
              <w:rPr>
                <w:rFonts w:ascii="Times New Roman" w:hAnsi="Times New Roman" w:cs="Times New Roman"/>
              </w:rPr>
              <w:t>Piedurkņu pagarinājuma nomaiņa (1 piedurknei)</w:t>
            </w:r>
          </w:p>
        </w:tc>
        <w:tc>
          <w:tcPr>
            <w:tcW w:w="949" w:type="pct"/>
            <w:vAlign w:val="center"/>
          </w:tcPr>
          <w:p w:rsidR="00C63014" w:rsidRPr="0067656F" w:rsidRDefault="00C63014" w:rsidP="00C63014">
            <w:pPr>
              <w:spacing w:after="0" w:line="240" w:lineRule="auto"/>
              <w:jc w:val="center"/>
              <w:rPr>
                <w:rFonts w:ascii="Times New Roman" w:eastAsia="Times New Roman" w:hAnsi="Times New Roman" w:cs="Times New Roman"/>
                <w:sz w:val="24"/>
                <w:szCs w:val="24"/>
                <w:lang w:eastAsia="lv-LV"/>
              </w:rPr>
            </w:pPr>
          </w:p>
        </w:tc>
      </w:tr>
      <w:tr w:rsidR="0093584F" w:rsidRPr="002B1EA2" w:rsidTr="00C63014">
        <w:trPr>
          <w:trHeight w:val="352"/>
        </w:trPr>
        <w:tc>
          <w:tcPr>
            <w:tcW w:w="4051" w:type="pct"/>
            <w:gridSpan w:val="2"/>
            <w:shd w:val="clear" w:color="auto" w:fill="auto"/>
            <w:vAlign w:val="center"/>
          </w:tcPr>
          <w:p w:rsidR="0093584F" w:rsidRPr="0067656F" w:rsidRDefault="0093584F" w:rsidP="0093584F">
            <w:pPr>
              <w:spacing w:after="0" w:line="240" w:lineRule="auto"/>
              <w:jc w:val="right"/>
              <w:rPr>
                <w:rFonts w:ascii="Times New Roman" w:eastAsia="Times New Roman" w:hAnsi="Times New Roman" w:cs="Times New Roman"/>
                <w:sz w:val="24"/>
                <w:szCs w:val="24"/>
                <w:lang w:eastAsia="lv-LV"/>
              </w:rPr>
            </w:pPr>
            <w:r w:rsidRPr="0067656F">
              <w:rPr>
                <w:rFonts w:ascii="Times New Roman" w:eastAsia="Times New Roman" w:hAnsi="Times New Roman" w:cs="Times New Roman"/>
                <w:b/>
                <w:sz w:val="24"/>
                <w:szCs w:val="24"/>
                <w:lang w:eastAsia="lv-LV"/>
              </w:rPr>
              <w:t>Piedāvājuma summa kopā EUR bez PVN</w:t>
            </w:r>
          </w:p>
        </w:tc>
        <w:tc>
          <w:tcPr>
            <w:tcW w:w="949" w:type="pct"/>
          </w:tcPr>
          <w:p w:rsidR="0093584F" w:rsidRPr="0067656F" w:rsidRDefault="0093584F" w:rsidP="00BC701F">
            <w:pPr>
              <w:spacing w:after="0" w:line="240" w:lineRule="auto"/>
              <w:rPr>
                <w:rFonts w:ascii="Times New Roman" w:eastAsia="Times New Roman" w:hAnsi="Times New Roman" w:cs="Times New Roman"/>
                <w:sz w:val="24"/>
                <w:szCs w:val="24"/>
                <w:lang w:eastAsia="lv-LV"/>
              </w:rPr>
            </w:pPr>
          </w:p>
        </w:tc>
      </w:tr>
      <w:tr w:rsidR="0093584F" w:rsidRPr="002B1EA2" w:rsidTr="00C63014">
        <w:trPr>
          <w:trHeight w:val="352"/>
        </w:trPr>
        <w:tc>
          <w:tcPr>
            <w:tcW w:w="4051" w:type="pct"/>
            <w:gridSpan w:val="2"/>
            <w:shd w:val="clear" w:color="auto" w:fill="auto"/>
            <w:vAlign w:val="center"/>
          </w:tcPr>
          <w:p w:rsidR="0093584F" w:rsidRPr="0067656F" w:rsidRDefault="0093584F" w:rsidP="0093584F">
            <w:pPr>
              <w:spacing w:after="0" w:line="240" w:lineRule="auto"/>
              <w:jc w:val="right"/>
              <w:rPr>
                <w:rFonts w:ascii="Times New Roman" w:eastAsia="Times New Roman" w:hAnsi="Times New Roman" w:cs="Times New Roman"/>
                <w:sz w:val="24"/>
                <w:szCs w:val="24"/>
                <w:lang w:eastAsia="lv-LV"/>
              </w:rPr>
            </w:pPr>
            <w:r>
              <w:rPr>
                <w:rFonts w:ascii="Times New Roman" w:eastAsia="Calibri" w:hAnsi="Times New Roman" w:cs="Times New Roman"/>
                <w:b/>
                <w:sz w:val="24"/>
                <w:szCs w:val="24"/>
                <w:lang w:eastAsia="lv-LV"/>
              </w:rPr>
              <w:softHyphen/>
            </w:r>
            <w:r>
              <w:rPr>
                <w:rFonts w:ascii="Times New Roman" w:eastAsia="Calibri" w:hAnsi="Times New Roman" w:cs="Times New Roman"/>
                <w:b/>
                <w:sz w:val="24"/>
                <w:szCs w:val="24"/>
                <w:lang w:eastAsia="lv-LV"/>
              </w:rPr>
              <w:softHyphen/>
            </w:r>
            <w:r w:rsidRPr="0067656F">
              <w:rPr>
                <w:rFonts w:ascii="Times New Roman" w:eastAsia="Calibri" w:hAnsi="Times New Roman" w:cs="Times New Roman"/>
                <w:b/>
                <w:sz w:val="24"/>
                <w:szCs w:val="24"/>
                <w:lang w:eastAsia="lv-LV"/>
              </w:rPr>
              <w:t>PVN _____%</w:t>
            </w:r>
          </w:p>
        </w:tc>
        <w:tc>
          <w:tcPr>
            <w:tcW w:w="949" w:type="pct"/>
          </w:tcPr>
          <w:p w:rsidR="0093584F" w:rsidRPr="0067656F" w:rsidRDefault="0093584F" w:rsidP="00BC701F">
            <w:pPr>
              <w:spacing w:after="0" w:line="240" w:lineRule="auto"/>
              <w:rPr>
                <w:rFonts w:ascii="Times New Roman" w:eastAsia="Times New Roman" w:hAnsi="Times New Roman" w:cs="Times New Roman"/>
                <w:sz w:val="24"/>
                <w:szCs w:val="24"/>
                <w:lang w:eastAsia="lv-LV"/>
              </w:rPr>
            </w:pPr>
          </w:p>
        </w:tc>
      </w:tr>
      <w:tr w:rsidR="0093584F" w:rsidRPr="002B1EA2" w:rsidTr="00C63014">
        <w:trPr>
          <w:trHeight w:val="352"/>
        </w:trPr>
        <w:tc>
          <w:tcPr>
            <w:tcW w:w="4051" w:type="pct"/>
            <w:gridSpan w:val="2"/>
            <w:shd w:val="clear" w:color="auto" w:fill="auto"/>
            <w:vAlign w:val="center"/>
          </w:tcPr>
          <w:p w:rsidR="0093584F" w:rsidRPr="0067656F" w:rsidRDefault="0093584F" w:rsidP="0093584F">
            <w:pPr>
              <w:spacing w:after="0" w:line="240" w:lineRule="auto"/>
              <w:jc w:val="right"/>
              <w:rPr>
                <w:rFonts w:ascii="Times New Roman" w:eastAsia="Times New Roman" w:hAnsi="Times New Roman" w:cs="Times New Roman"/>
                <w:sz w:val="24"/>
                <w:szCs w:val="24"/>
                <w:lang w:eastAsia="lv-LV"/>
              </w:rPr>
            </w:pPr>
            <w:r w:rsidRPr="0067656F">
              <w:rPr>
                <w:rFonts w:ascii="Times New Roman" w:eastAsia="Calibri" w:hAnsi="Times New Roman" w:cs="Times New Roman"/>
                <w:b/>
                <w:sz w:val="24"/>
                <w:szCs w:val="24"/>
                <w:lang w:eastAsia="lv-LV"/>
              </w:rPr>
              <w:t>Piedāvājuma summa kopā EUR ar PVN</w:t>
            </w:r>
          </w:p>
        </w:tc>
        <w:tc>
          <w:tcPr>
            <w:tcW w:w="949" w:type="pct"/>
          </w:tcPr>
          <w:p w:rsidR="0093584F" w:rsidRPr="0067656F" w:rsidRDefault="0093584F" w:rsidP="00BC701F">
            <w:pPr>
              <w:spacing w:after="0" w:line="240" w:lineRule="auto"/>
              <w:rPr>
                <w:rFonts w:ascii="Times New Roman" w:eastAsia="Times New Roman" w:hAnsi="Times New Roman" w:cs="Times New Roman"/>
                <w:sz w:val="24"/>
                <w:szCs w:val="24"/>
                <w:lang w:eastAsia="lv-LV"/>
              </w:rPr>
            </w:pPr>
          </w:p>
        </w:tc>
      </w:tr>
    </w:tbl>
    <w:p w:rsidR="007E38A8" w:rsidRDefault="007E38A8" w:rsidP="00C63014">
      <w:pPr>
        <w:rPr>
          <w:rFonts w:ascii="Times New Roman" w:eastAsia="Calibri" w:hAnsi="Times New Roman" w:cs="Times New Roman"/>
          <w:sz w:val="24"/>
          <w:szCs w:val="24"/>
        </w:rPr>
      </w:pPr>
    </w:p>
    <w:p w:rsidR="00C63014" w:rsidRPr="00C63014" w:rsidRDefault="00C63014" w:rsidP="00C63014">
      <w:pPr>
        <w:rPr>
          <w:rFonts w:ascii="Times New Roman" w:eastAsia="Calibri" w:hAnsi="Times New Roman" w:cs="Times New Roman"/>
          <w:sz w:val="24"/>
          <w:szCs w:val="24"/>
        </w:rPr>
      </w:pPr>
      <w:r w:rsidRPr="00C63014">
        <w:rPr>
          <w:rFonts w:ascii="Times New Roman" w:eastAsia="Calibri" w:hAnsi="Times New Roman" w:cs="Times New Roman"/>
          <w:sz w:val="24"/>
          <w:szCs w:val="24"/>
        </w:rPr>
        <w:t>Valsts ugunsdzēsības un glābšanas dienests veic tirgus izpēti par ugunsdzēsēju aizsargtērpu (virsjakas un/vai bikses) remonta pakalpojuma nodrošināšanu ar mērķi noslēgt līgumu pakalpojuma nodrošināšanai.</w:t>
      </w:r>
    </w:p>
    <w:p w:rsidR="00C63014" w:rsidRDefault="00C63014" w:rsidP="00C63014">
      <w:pPr>
        <w:rPr>
          <w:rFonts w:ascii="Times New Roman" w:eastAsia="Calibri" w:hAnsi="Times New Roman" w:cs="Times New Roman"/>
          <w:sz w:val="24"/>
          <w:szCs w:val="24"/>
        </w:rPr>
      </w:pPr>
      <w:r w:rsidRPr="00C63014">
        <w:rPr>
          <w:rFonts w:ascii="Times New Roman" w:eastAsia="Calibri" w:hAnsi="Times New Roman" w:cs="Times New Roman"/>
          <w:sz w:val="24"/>
          <w:szCs w:val="24"/>
        </w:rPr>
        <w:t xml:space="preserve">Lūdzam </w:t>
      </w:r>
      <w:r w:rsidRPr="00C63014">
        <w:rPr>
          <w:rFonts w:ascii="Times New Roman" w:eastAsia="Calibri" w:hAnsi="Times New Roman" w:cs="Times New Roman"/>
          <w:color w:val="FF0000"/>
          <w:sz w:val="24"/>
          <w:szCs w:val="24"/>
        </w:rPr>
        <w:t xml:space="preserve">līdz 2025. gada 19. septembrim </w:t>
      </w:r>
      <w:r w:rsidRPr="00C63014">
        <w:rPr>
          <w:rFonts w:ascii="Times New Roman" w:eastAsia="Calibri" w:hAnsi="Times New Roman" w:cs="Times New Roman"/>
          <w:sz w:val="24"/>
          <w:szCs w:val="24"/>
        </w:rPr>
        <w:t xml:space="preserve">(ieskaitot) iesniegt Jūsu kompānijas informāciju par iespējamo piedāvājumu, </w:t>
      </w:r>
      <w:r w:rsidR="007E38A8">
        <w:rPr>
          <w:rFonts w:ascii="Times New Roman" w:eastAsia="Calibri" w:hAnsi="Times New Roman" w:cs="Times New Roman"/>
          <w:sz w:val="24"/>
          <w:szCs w:val="24"/>
        </w:rPr>
        <w:t>a</w:t>
      </w:r>
      <w:r w:rsidR="007E38A8" w:rsidRPr="007E38A8">
        <w:rPr>
          <w:rFonts w:ascii="Times New Roman" w:eastAsia="Calibri" w:hAnsi="Times New Roman" w:cs="Times New Roman"/>
          <w:sz w:val="24"/>
          <w:szCs w:val="24"/>
        </w:rPr>
        <w:t>izpildot pievienotās tabulas un nosūtot tās</w:t>
      </w:r>
      <w:r w:rsidRPr="00C63014">
        <w:rPr>
          <w:rFonts w:ascii="Times New Roman" w:eastAsia="Calibri" w:hAnsi="Times New Roman" w:cs="Times New Roman"/>
          <w:sz w:val="24"/>
          <w:szCs w:val="24"/>
        </w:rPr>
        <w:t xml:space="preserve"> uz e-pasta adresi: </w:t>
      </w:r>
      <w:hyperlink r:id="rId10" w:history="1">
        <w:r w:rsidRPr="00D0586E">
          <w:rPr>
            <w:rStyle w:val="Hyperlink"/>
            <w:rFonts w:ascii="Times New Roman" w:eastAsia="Calibri" w:hAnsi="Times New Roman" w:cs="Times New Roman"/>
            <w:sz w:val="24"/>
            <w:szCs w:val="24"/>
          </w:rPr>
          <w:t>viktorija.politika@vugd.gov.lv</w:t>
        </w:r>
      </w:hyperlink>
    </w:p>
    <w:p w:rsidR="00B52391" w:rsidRPr="00F0753E" w:rsidRDefault="00F0753E" w:rsidP="00F0753E">
      <w:pPr>
        <w:rPr>
          <w:rFonts w:ascii="Times New Roman" w:eastAsia="Calibri" w:hAnsi="Times New Roman" w:cs="Times New Roman"/>
          <w:sz w:val="24"/>
          <w:szCs w:val="24"/>
        </w:rPr>
      </w:pPr>
      <w:r w:rsidRPr="00F0753E">
        <w:rPr>
          <w:rFonts w:ascii="Times New Roman" w:eastAsia="Calibri" w:hAnsi="Times New Roman" w:cs="Times New Roman"/>
          <w:sz w:val="24"/>
          <w:szCs w:val="24"/>
        </w:rPr>
        <w:t>Turpmāk ar Valsts ugunsdzēsības un glābšanas dienesta iepirkumiem līdz EUR 10 000 varē</w:t>
      </w:r>
      <w:r>
        <w:rPr>
          <w:rFonts w:ascii="Times New Roman" w:eastAsia="Calibri" w:hAnsi="Times New Roman" w:cs="Times New Roman"/>
          <w:sz w:val="24"/>
          <w:szCs w:val="24"/>
        </w:rPr>
        <w:t xml:space="preserve">siet iepazīties mūsu mājaslapā: </w:t>
      </w:r>
      <w:hyperlink r:id="rId11" w:history="1">
        <w:r w:rsidR="007E38A8" w:rsidRPr="00D0586E">
          <w:rPr>
            <w:rStyle w:val="Hyperlink"/>
            <w:rFonts w:ascii="Times New Roman" w:eastAsia="Calibri" w:hAnsi="Times New Roman" w:cs="Times New Roman"/>
            <w:i/>
            <w:sz w:val="24"/>
            <w:szCs w:val="24"/>
          </w:rPr>
          <w:t>https://www.vugd.gov.lv/lv/iepirkumi-kurus-veicot-nepiemero-pil-noteikumus</w:t>
        </w:r>
      </w:hyperlink>
      <w:r w:rsidR="007E38A8">
        <w:rPr>
          <w:rFonts w:ascii="Times New Roman" w:eastAsia="Calibri" w:hAnsi="Times New Roman" w:cs="Times New Roman"/>
          <w:i/>
          <w:sz w:val="24"/>
          <w:szCs w:val="24"/>
        </w:rPr>
        <w:t xml:space="preserve"> </w:t>
      </w:r>
    </w:p>
    <w:sectPr w:rsidR="00B52391" w:rsidRPr="00F0753E" w:rsidSect="006D6CE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414" w:rsidRDefault="009E7414" w:rsidP="00B52391">
      <w:pPr>
        <w:spacing w:after="0" w:line="240" w:lineRule="auto"/>
      </w:pPr>
      <w:r>
        <w:separator/>
      </w:r>
    </w:p>
  </w:endnote>
  <w:endnote w:type="continuationSeparator" w:id="0">
    <w:p w:rsidR="009E7414" w:rsidRDefault="009E7414" w:rsidP="00B5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414" w:rsidRDefault="009E7414" w:rsidP="00B52391">
      <w:pPr>
        <w:spacing w:after="0" w:line="240" w:lineRule="auto"/>
      </w:pPr>
      <w:r>
        <w:separator/>
      </w:r>
    </w:p>
  </w:footnote>
  <w:footnote w:type="continuationSeparator" w:id="0">
    <w:p w:rsidR="009E7414" w:rsidRDefault="009E7414" w:rsidP="00B52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321375"/>
      <w:docPartObj>
        <w:docPartGallery w:val="Page Numbers (Top of Page)"/>
        <w:docPartUnique/>
      </w:docPartObj>
    </w:sdtPr>
    <w:sdtEndPr/>
    <w:sdtContent>
      <w:p w:rsidR="00B52391" w:rsidRDefault="00B52391">
        <w:pPr>
          <w:pStyle w:val="Header"/>
          <w:jc w:val="center"/>
        </w:pPr>
        <w:r>
          <w:fldChar w:fldCharType="begin"/>
        </w:r>
        <w:r>
          <w:instrText>PAGE   \* MERGEFORMAT</w:instrText>
        </w:r>
        <w:r>
          <w:fldChar w:fldCharType="separate"/>
        </w:r>
        <w:r w:rsidR="00F0753E">
          <w:rPr>
            <w:noProof/>
          </w:rPr>
          <w:t>2</w:t>
        </w:r>
        <w:r>
          <w:fldChar w:fldCharType="end"/>
        </w:r>
      </w:p>
    </w:sdtContent>
  </w:sdt>
  <w:p w:rsidR="00B52391" w:rsidRDefault="00B52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4A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3370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9E17AB"/>
    <w:multiLevelType w:val="multilevel"/>
    <w:tmpl w:val="7018AAFE"/>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F676A8"/>
    <w:multiLevelType w:val="multilevel"/>
    <w:tmpl w:val="77AA4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737" w:hanging="453"/>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128F9"/>
    <w:multiLevelType w:val="multilevel"/>
    <w:tmpl w:val="EDE4EFA0"/>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587E42"/>
    <w:multiLevelType w:val="multilevel"/>
    <w:tmpl w:val="12F6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94082"/>
    <w:multiLevelType w:val="multilevel"/>
    <w:tmpl w:val="43DEF9D4"/>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723250"/>
    <w:multiLevelType w:val="hybridMultilevel"/>
    <w:tmpl w:val="B836A178"/>
    <w:lvl w:ilvl="0" w:tplc="B6184A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76C69BB"/>
    <w:multiLevelType w:val="hybridMultilevel"/>
    <w:tmpl w:val="D6C6F7C4"/>
    <w:lvl w:ilvl="0" w:tplc="B6184A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5411264"/>
    <w:multiLevelType w:val="multilevel"/>
    <w:tmpl w:val="F0801BC2"/>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3D49B6"/>
    <w:multiLevelType w:val="hybridMultilevel"/>
    <w:tmpl w:val="410822D8"/>
    <w:lvl w:ilvl="0" w:tplc="B6184A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241AAF"/>
    <w:multiLevelType w:val="hybridMultilevel"/>
    <w:tmpl w:val="B63EE2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E567A79"/>
    <w:multiLevelType w:val="multilevel"/>
    <w:tmpl w:val="1842E8C8"/>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855F0F"/>
    <w:multiLevelType w:val="hybridMultilevel"/>
    <w:tmpl w:val="A372C7D2"/>
    <w:lvl w:ilvl="0" w:tplc="29E22848">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1DC312B"/>
    <w:multiLevelType w:val="multilevel"/>
    <w:tmpl w:val="58CCE98C"/>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2113B1"/>
    <w:multiLevelType w:val="hybridMultilevel"/>
    <w:tmpl w:val="57BC3CF6"/>
    <w:lvl w:ilvl="0" w:tplc="59D017F4">
      <w:numFmt w:val="bullet"/>
      <w:lvlText w:val=""/>
      <w:lvlJc w:val="left"/>
      <w:pPr>
        <w:ind w:left="420" w:hanging="360"/>
      </w:pPr>
      <w:rPr>
        <w:rFonts w:ascii="Symbol" w:eastAsia="Calibri"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6" w15:restartNumberingAfterBreak="0">
    <w:nsid w:val="55B726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7D4AB5"/>
    <w:multiLevelType w:val="hybridMultilevel"/>
    <w:tmpl w:val="91CCE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9B81F1B"/>
    <w:multiLevelType w:val="multilevel"/>
    <w:tmpl w:val="FDA2DB74"/>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4854F3"/>
    <w:multiLevelType w:val="hybridMultilevel"/>
    <w:tmpl w:val="8418FA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7A08E5"/>
    <w:multiLevelType w:val="hybridMultilevel"/>
    <w:tmpl w:val="B0E6DA5E"/>
    <w:lvl w:ilvl="0" w:tplc="B6184A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E761BFB"/>
    <w:multiLevelType w:val="multilevel"/>
    <w:tmpl w:val="0526EA92"/>
    <w:lvl w:ilvl="0">
      <w:start w:val="1"/>
      <w:numFmt w:val="decimal"/>
      <w:lvlText w:val="%1."/>
      <w:lvlJc w:val="left"/>
      <w:pPr>
        <w:ind w:left="360" w:hanging="360"/>
      </w:pPr>
      <w:rPr>
        <w:rFonts w:hint="default"/>
      </w:rPr>
    </w:lvl>
    <w:lvl w:ilvl="1">
      <w:start w:val="1"/>
      <w:numFmt w:val="decimal"/>
      <w:lvlText w:val="%1.%2."/>
      <w:lvlJc w:val="left"/>
      <w:pPr>
        <w:ind w:left="792" w:hanging="56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AA0C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9726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372F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3"/>
  </w:num>
  <w:num w:numId="3">
    <w:abstractNumId w:val="1"/>
  </w:num>
  <w:num w:numId="4">
    <w:abstractNumId w:val="0"/>
  </w:num>
  <w:num w:numId="5">
    <w:abstractNumId w:val="22"/>
  </w:num>
  <w:num w:numId="6">
    <w:abstractNumId w:val="16"/>
  </w:num>
  <w:num w:numId="7">
    <w:abstractNumId w:val="18"/>
  </w:num>
  <w:num w:numId="8">
    <w:abstractNumId w:val="15"/>
  </w:num>
  <w:num w:numId="9">
    <w:abstractNumId w:val="14"/>
  </w:num>
  <w:num w:numId="10">
    <w:abstractNumId w:val="12"/>
  </w:num>
  <w:num w:numId="11">
    <w:abstractNumId w:val="9"/>
  </w:num>
  <w:num w:numId="12">
    <w:abstractNumId w:val="4"/>
  </w:num>
  <w:num w:numId="13">
    <w:abstractNumId w:val="2"/>
  </w:num>
  <w:num w:numId="14">
    <w:abstractNumId w:val="6"/>
  </w:num>
  <w:num w:numId="15">
    <w:abstractNumId w:val="3"/>
  </w:num>
  <w:num w:numId="16">
    <w:abstractNumId w:val="5"/>
  </w:num>
  <w:num w:numId="17">
    <w:abstractNumId w:val="10"/>
  </w:num>
  <w:num w:numId="18">
    <w:abstractNumId w:val="7"/>
  </w:num>
  <w:num w:numId="19">
    <w:abstractNumId w:val="8"/>
  </w:num>
  <w:num w:numId="20">
    <w:abstractNumId w:val="20"/>
  </w:num>
  <w:num w:numId="21">
    <w:abstractNumId w:val="19"/>
  </w:num>
  <w:num w:numId="22">
    <w:abstractNumId w:val="11"/>
  </w:num>
  <w:num w:numId="23">
    <w:abstractNumId w:val="24"/>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A02"/>
    <w:rsid w:val="0000108D"/>
    <w:rsid w:val="00023098"/>
    <w:rsid w:val="000E7139"/>
    <w:rsid w:val="00106521"/>
    <w:rsid w:val="00113A9D"/>
    <w:rsid w:val="00166B5C"/>
    <w:rsid w:val="00173021"/>
    <w:rsid w:val="001742A2"/>
    <w:rsid w:val="001C7C4E"/>
    <w:rsid w:val="001E23CC"/>
    <w:rsid w:val="0020100A"/>
    <w:rsid w:val="00242C9B"/>
    <w:rsid w:val="0028540F"/>
    <w:rsid w:val="002A4955"/>
    <w:rsid w:val="002E1179"/>
    <w:rsid w:val="0030045F"/>
    <w:rsid w:val="00306DB9"/>
    <w:rsid w:val="00324CDC"/>
    <w:rsid w:val="00333740"/>
    <w:rsid w:val="003341F2"/>
    <w:rsid w:val="00357B0F"/>
    <w:rsid w:val="003621FB"/>
    <w:rsid w:val="003B0E8B"/>
    <w:rsid w:val="003D1282"/>
    <w:rsid w:val="00465641"/>
    <w:rsid w:val="00487D90"/>
    <w:rsid w:val="004A7073"/>
    <w:rsid w:val="004B59FD"/>
    <w:rsid w:val="004D4937"/>
    <w:rsid w:val="004D7323"/>
    <w:rsid w:val="005048D4"/>
    <w:rsid w:val="00520A6F"/>
    <w:rsid w:val="00556E4A"/>
    <w:rsid w:val="00560F30"/>
    <w:rsid w:val="0062770E"/>
    <w:rsid w:val="00646A30"/>
    <w:rsid w:val="00662045"/>
    <w:rsid w:val="00662AC4"/>
    <w:rsid w:val="0067656F"/>
    <w:rsid w:val="00677DDA"/>
    <w:rsid w:val="006B0ADE"/>
    <w:rsid w:val="006C3B42"/>
    <w:rsid w:val="006D6CE4"/>
    <w:rsid w:val="006E27DB"/>
    <w:rsid w:val="006F4A5D"/>
    <w:rsid w:val="0070307B"/>
    <w:rsid w:val="00724C65"/>
    <w:rsid w:val="00735856"/>
    <w:rsid w:val="00774055"/>
    <w:rsid w:val="007B4C41"/>
    <w:rsid w:val="007B4E08"/>
    <w:rsid w:val="007D1315"/>
    <w:rsid w:val="007D6CD7"/>
    <w:rsid w:val="007E38A8"/>
    <w:rsid w:val="00827302"/>
    <w:rsid w:val="00827F25"/>
    <w:rsid w:val="008318F3"/>
    <w:rsid w:val="00836821"/>
    <w:rsid w:val="00840F14"/>
    <w:rsid w:val="00857409"/>
    <w:rsid w:val="0086255B"/>
    <w:rsid w:val="008C06CB"/>
    <w:rsid w:val="0090510E"/>
    <w:rsid w:val="0093584F"/>
    <w:rsid w:val="00987466"/>
    <w:rsid w:val="009B7D69"/>
    <w:rsid w:val="009E7414"/>
    <w:rsid w:val="009F4BF5"/>
    <w:rsid w:val="00A017AA"/>
    <w:rsid w:val="00A33DE3"/>
    <w:rsid w:val="00A55DC8"/>
    <w:rsid w:val="00A56A02"/>
    <w:rsid w:val="00A85E2C"/>
    <w:rsid w:val="00A92155"/>
    <w:rsid w:val="00AA05E0"/>
    <w:rsid w:val="00AC68E9"/>
    <w:rsid w:val="00AD3837"/>
    <w:rsid w:val="00B52391"/>
    <w:rsid w:val="00B55E56"/>
    <w:rsid w:val="00BE7EF1"/>
    <w:rsid w:val="00C062EA"/>
    <w:rsid w:val="00C34A63"/>
    <w:rsid w:val="00C63014"/>
    <w:rsid w:val="00C67273"/>
    <w:rsid w:val="00C7661B"/>
    <w:rsid w:val="00C82BBD"/>
    <w:rsid w:val="00C95BBD"/>
    <w:rsid w:val="00C95BE7"/>
    <w:rsid w:val="00CF2A29"/>
    <w:rsid w:val="00D00D1E"/>
    <w:rsid w:val="00D016B1"/>
    <w:rsid w:val="00D06D2A"/>
    <w:rsid w:val="00D40FCA"/>
    <w:rsid w:val="00D76677"/>
    <w:rsid w:val="00D97867"/>
    <w:rsid w:val="00DC1644"/>
    <w:rsid w:val="00DC4232"/>
    <w:rsid w:val="00DD0280"/>
    <w:rsid w:val="00E13669"/>
    <w:rsid w:val="00E21600"/>
    <w:rsid w:val="00E221E4"/>
    <w:rsid w:val="00E42676"/>
    <w:rsid w:val="00E50A62"/>
    <w:rsid w:val="00E833D1"/>
    <w:rsid w:val="00E91503"/>
    <w:rsid w:val="00EC41D8"/>
    <w:rsid w:val="00F05800"/>
    <w:rsid w:val="00F0753E"/>
    <w:rsid w:val="00F73446"/>
    <w:rsid w:val="00FD1CB6"/>
    <w:rsid w:val="00FD21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DCDC"/>
  <w15:chartTrackingRefBased/>
  <w15:docId w15:val="{0CD9EA44-6471-4D41-AB02-41799224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23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2391"/>
  </w:style>
  <w:style w:type="paragraph" w:styleId="Footer">
    <w:name w:val="footer"/>
    <w:basedOn w:val="Normal"/>
    <w:link w:val="FooterChar"/>
    <w:uiPriority w:val="99"/>
    <w:unhideWhenUsed/>
    <w:rsid w:val="00B523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2391"/>
  </w:style>
  <w:style w:type="paragraph" w:styleId="ListParagraph">
    <w:name w:val="List Paragraph"/>
    <w:basedOn w:val="Normal"/>
    <w:uiPriority w:val="34"/>
    <w:qFormat/>
    <w:rsid w:val="00BE7EF1"/>
    <w:pPr>
      <w:ind w:left="720"/>
      <w:contextualSpacing/>
    </w:pPr>
  </w:style>
  <w:style w:type="character" w:styleId="CommentReference">
    <w:name w:val="annotation reference"/>
    <w:basedOn w:val="DefaultParagraphFont"/>
    <w:uiPriority w:val="99"/>
    <w:semiHidden/>
    <w:unhideWhenUsed/>
    <w:rsid w:val="00662AC4"/>
    <w:rPr>
      <w:sz w:val="16"/>
      <w:szCs w:val="16"/>
    </w:rPr>
  </w:style>
  <w:style w:type="paragraph" w:styleId="CommentText">
    <w:name w:val="annotation text"/>
    <w:basedOn w:val="Normal"/>
    <w:link w:val="CommentTextChar"/>
    <w:uiPriority w:val="99"/>
    <w:semiHidden/>
    <w:unhideWhenUsed/>
    <w:rsid w:val="00662AC4"/>
    <w:pPr>
      <w:spacing w:line="240" w:lineRule="auto"/>
    </w:pPr>
    <w:rPr>
      <w:sz w:val="20"/>
      <w:szCs w:val="20"/>
    </w:rPr>
  </w:style>
  <w:style w:type="character" w:customStyle="1" w:styleId="CommentTextChar">
    <w:name w:val="Comment Text Char"/>
    <w:basedOn w:val="DefaultParagraphFont"/>
    <w:link w:val="CommentText"/>
    <w:uiPriority w:val="99"/>
    <w:semiHidden/>
    <w:rsid w:val="00662AC4"/>
    <w:rPr>
      <w:sz w:val="20"/>
      <w:szCs w:val="20"/>
    </w:rPr>
  </w:style>
  <w:style w:type="paragraph" w:styleId="CommentSubject">
    <w:name w:val="annotation subject"/>
    <w:basedOn w:val="CommentText"/>
    <w:next w:val="CommentText"/>
    <w:link w:val="CommentSubjectChar"/>
    <w:uiPriority w:val="99"/>
    <w:semiHidden/>
    <w:unhideWhenUsed/>
    <w:rsid w:val="00662AC4"/>
    <w:rPr>
      <w:b/>
      <w:bCs/>
    </w:rPr>
  </w:style>
  <w:style w:type="character" w:customStyle="1" w:styleId="CommentSubjectChar">
    <w:name w:val="Comment Subject Char"/>
    <w:basedOn w:val="CommentTextChar"/>
    <w:link w:val="CommentSubject"/>
    <w:uiPriority w:val="99"/>
    <w:semiHidden/>
    <w:rsid w:val="00662AC4"/>
    <w:rPr>
      <w:b/>
      <w:bCs/>
      <w:sz w:val="20"/>
      <w:szCs w:val="20"/>
    </w:rPr>
  </w:style>
  <w:style w:type="paragraph" w:styleId="BalloonText">
    <w:name w:val="Balloon Text"/>
    <w:basedOn w:val="Normal"/>
    <w:link w:val="BalloonTextChar"/>
    <w:uiPriority w:val="99"/>
    <w:semiHidden/>
    <w:unhideWhenUsed/>
    <w:rsid w:val="00662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AC4"/>
    <w:rPr>
      <w:rFonts w:ascii="Segoe UI" w:hAnsi="Segoe UI" w:cs="Segoe UI"/>
      <w:sz w:val="18"/>
      <w:szCs w:val="18"/>
    </w:rPr>
  </w:style>
  <w:style w:type="paragraph" w:styleId="NormalWeb">
    <w:name w:val="Normal (Web)"/>
    <w:basedOn w:val="Normal"/>
    <w:uiPriority w:val="99"/>
    <w:semiHidden/>
    <w:unhideWhenUsed/>
    <w:rsid w:val="00520A6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20A6F"/>
    <w:rPr>
      <w:b/>
      <w:bCs/>
    </w:rPr>
  </w:style>
  <w:style w:type="character" w:styleId="Hyperlink">
    <w:name w:val="Hyperlink"/>
    <w:basedOn w:val="DefaultParagraphFont"/>
    <w:uiPriority w:val="99"/>
    <w:unhideWhenUsed/>
    <w:rsid w:val="00F0753E"/>
    <w:rPr>
      <w:color w:val="0563C1" w:themeColor="hyperlink"/>
      <w:u w:val="single"/>
    </w:rPr>
  </w:style>
  <w:style w:type="character" w:styleId="UnresolvedMention">
    <w:name w:val="Unresolved Mention"/>
    <w:basedOn w:val="DefaultParagraphFont"/>
    <w:uiPriority w:val="99"/>
    <w:semiHidden/>
    <w:unhideWhenUsed/>
    <w:rsid w:val="00C63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5205">
      <w:bodyDiv w:val="1"/>
      <w:marLeft w:val="0"/>
      <w:marRight w:val="0"/>
      <w:marTop w:val="0"/>
      <w:marBottom w:val="0"/>
      <w:divBdr>
        <w:top w:val="none" w:sz="0" w:space="0" w:color="auto"/>
        <w:left w:val="none" w:sz="0" w:space="0" w:color="auto"/>
        <w:bottom w:val="none" w:sz="0" w:space="0" w:color="auto"/>
        <w:right w:val="none" w:sz="0" w:space="0" w:color="auto"/>
      </w:divBdr>
    </w:div>
    <w:div w:id="370767093">
      <w:bodyDiv w:val="1"/>
      <w:marLeft w:val="0"/>
      <w:marRight w:val="0"/>
      <w:marTop w:val="0"/>
      <w:marBottom w:val="0"/>
      <w:divBdr>
        <w:top w:val="none" w:sz="0" w:space="0" w:color="auto"/>
        <w:left w:val="none" w:sz="0" w:space="0" w:color="auto"/>
        <w:bottom w:val="none" w:sz="0" w:space="0" w:color="auto"/>
        <w:right w:val="none" w:sz="0" w:space="0" w:color="auto"/>
      </w:divBdr>
    </w:div>
    <w:div w:id="8498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ugd.gov.lv/lv/iepirkumi-kurus-veicot-nepiemero-pil-noteikumus" TargetMode="External"/><Relationship Id="rId5" Type="http://schemas.openxmlformats.org/officeDocument/2006/relationships/footnotes" Target="footnotes.xml"/><Relationship Id="rId10" Type="http://schemas.openxmlformats.org/officeDocument/2006/relationships/hyperlink" Target="mailto:viktorija.politika@vugd.gov.lv"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2662</Words>
  <Characters>1518</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IEM IC Zemgale</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Politika</dc:creator>
  <cp:keywords/>
  <dc:description/>
  <cp:lastModifiedBy>Viktorija Politika</cp:lastModifiedBy>
  <cp:revision>6</cp:revision>
  <dcterms:created xsi:type="dcterms:W3CDTF">2025-09-16T09:36:00Z</dcterms:created>
  <dcterms:modified xsi:type="dcterms:W3CDTF">2025-09-16T09:47:00Z</dcterms:modified>
</cp:coreProperties>
</file>