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3E9F" w14:textId="77777777" w:rsidR="00A921E9" w:rsidRPr="003E4B6E" w:rsidRDefault="00A921E9" w:rsidP="00A921E9">
      <w:pPr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E5A3E64" w14:textId="77777777" w:rsidR="00FA4A26" w:rsidRPr="003E4B6E" w:rsidRDefault="00FA4A26" w:rsidP="00FA4A26">
      <w:pPr>
        <w:keepNext/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4B6E">
        <w:rPr>
          <w:rFonts w:ascii="Times New Roman" w:hAnsi="Times New Roman"/>
          <w:b/>
          <w:sz w:val="24"/>
          <w:szCs w:val="24"/>
        </w:rPr>
        <w:t xml:space="preserve">Uzaicinājums pretendentiem piedalīties cenu aptaujā </w:t>
      </w:r>
    </w:p>
    <w:p w14:paraId="31E4FC48" w14:textId="11724F7A" w:rsidR="00FB64F6" w:rsidRPr="003E4B6E" w:rsidRDefault="00E45FF3" w:rsidP="00FB64F6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Valsts ugunsdzēsības un glābšanas dienesta</w:t>
      </w:r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spēļu iegādāšana projekta </w:t>
      </w:r>
      <w:proofErr w:type="spellStart"/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PeatFire</w:t>
      </w:r>
      <w:proofErr w:type="spellEnd"/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ietvaros  </w:t>
      </w:r>
    </w:p>
    <w:p w14:paraId="5C41530B" w14:textId="77777777" w:rsidR="00DC5EFD" w:rsidRPr="003E4B6E" w:rsidRDefault="00DC5EFD" w:rsidP="00FA4A26">
      <w:pPr>
        <w:keepNext/>
        <w:suppressAutoHyphens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1BAACE" w14:textId="77777777" w:rsidR="00FA4A26" w:rsidRPr="003E4B6E" w:rsidRDefault="00FA4A26" w:rsidP="00FA4A26">
      <w:pPr>
        <w:pStyle w:val="Heading2"/>
        <w:keepLines w:val="0"/>
        <w:numPr>
          <w:ilvl w:val="0"/>
          <w:numId w:val="6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B6E">
        <w:rPr>
          <w:rFonts w:ascii="Times New Roman" w:hAnsi="Times New Roman"/>
          <w:b/>
          <w:bCs/>
          <w:color w:val="auto"/>
          <w:sz w:val="24"/>
          <w:szCs w:val="24"/>
        </w:rPr>
        <w:t xml:space="preserve">Pasūtītājs: </w:t>
      </w:r>
      <w:r w:rsidR="00B53EBD" w:rsidRPr="003E4B6E">
        <w:rPr>
          <w:rFonts w:ascii="Times New Roman" w:hAnsi="Times New Roman"/>
          <w:b/>
          <w:bCs/>
          <w:color w:val="auto"/>
          <w:sz w:val="24"/>
          <w:szCs w:val="24"/>
        </w:rPr>
        <w:t>Valsts ugunsdzēsības un glābšanas dienests</w:t>
      </w:r>
    </w:p>
    <w:p w14:paraId="2D748A90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 xml:space="preserve">Bankas rekvizīti </w:t>
      </w:r>
    </w:p>
    <w:p w14:paraId="6AF4751A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 xml:space="preserve">Saņēmēja nosaukums: </w:t>
      </w:r>
    </w:p>
    <w:p w14:paraId="3F3D4887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Valsts ugunsdzēsības un glābšanas dienests</w:t>
      </w:r>
    </w:p>
    <w:p w14:paraId="2D14340B" w14:textId="77777777" w:rsidR="00BA0E5E" w:rsidRPr="003E4B6E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pasts@vugd.gov.lv</w:t>
      </w:r>
    </w:p>
    <w:p w14:paraId="7B1D4B08" w14:textId="77777777" w:rsidR="00BA0E5E" w:rsidRPr="003E4B6E" w:rsidRDefault="00BA0E5E" w:rsidP="00BA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Talejas iela 1, Rīga, LV-1026</w:t>
      </w:r>
    </w:p>
    <w:p w14:paraId="2DD46539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Saņēmēja reģistrācijas numurs: 90000049834</w:t>
      </w:r>
    </w:p>
    <w:p w14:paraId="483C042A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 xml:space="preserve">Bankas konts: </w:t>
      </w:r>
      <w:r w:rsidRPr="003E4B6E">
        <w:rPr>
          <w:rFonts w:ascii="Times New Roman" w:hAnsi="Times New Roman"/>
          <w:sz w:val="24"/>
          <w:szCs w:val="24"/>
        </w:rPr>
        <w:t>LV25TREL214014421800B</w:t>
      </w:r>
    </w:p>
    <w:p w14:paraId="41788B89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Bankas nosaukums: Valsts Kase Rīgas NC</w:t>
      </w:r>
    </w:p>
    <w:p w14:paraId="488DDD29" w14:textId="77777777" w:rsidR="00B53EBD" w:rsidRPr="003E4B6E" w:rsidRDefault="00B53EBD" w:rsidP="00B5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B6E">
        <w:rPr>
          <w:rFonts w:ascii="Times New Roman" w:hAnsi="Times New Roman" w:cs="Times New Roman"/>
          <w:sz w:val="24"/>
          <w:szCs w:val="24"/>
        </w:rPr>
        <w:t>Bankas kods: TRELLV22</w:t>
      </w:r>
    </w:p>
    <w:p w14:paraId="056A584C" w14:textId="77777777" w:rsidR="00FA4A26" w:rsidRPr="003E4B6E" w:rsidRDefault="00B53EBD" w:rsidP="00B53EBD">
      <w:pPr>
        <w:rPr>
          <w:rFonts w:ascii="Times New Roman" w:hAnsi="Times New Roman"/>
          <w:sz w:val="24"/>
          <w:szCs w:val="24"/>
        </w:rPr>
      </w:pPr>
      <w:r w:rsidRPr="003E4B6E">
        <w:rPr>
          <w:rFonts w:ascii="Times New Roman" w:hAnsi="Times New Roman"/>
          <w:sz w:val="24"/>
          <w:szCs w:val="24"/>
        </w:rPr>
        <w:t>Projekts “Pārrobežu sadarbības uzlabošana kūdras ugunsgrēku novēršanas un reaģēšanas jomā“ (</w:t>
      </w:r>
      <w:proofErr w:type="spellStart"/>
      <w:r w:rsidRPr="003E4B6E">
        <w:rPr>
          <w:rFonts w:ascii="Times New Roman" w:hAnsi="Times New Roman"/>
          <w:sz w:val="24"/>
          <w:szCs w:val="24"/>
        </w:rPr>
        <w:t>PeatFire</w:t>
      </w:r>
      <w:proofErr w:type="spellEnd"/>
      <w:r w:rsidRPr="003E4B6E">
        <w:rPr>
          <w:rFonts w:ascii="Times New Roman" w:hAnsi="Times New Roman"/>
          <w:sz w:val="24"/>
          <w:szCs w:val="24"/>
        </w:rPr>
        <w:t xml:space="preserve">, LL-00007)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514"/>
      </w:tblGrid>
      <w:tr w:rsidR="003E4B6E" w:rsidRPr="003E4B6E" w14:paraId="4220BF15" w14:textId="77777777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C63" w14:textId="77777777" w:rsidR="00FA4A26" w:rsidRPr="003E4B6E" w:rsidRDefault="00FA4A26" w:rsidP="003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B6E">
              <w:rPr>
                <w:rFonts w:ascii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551" w14:textId="77777777" w:rsidR="00FA4A26" w:rsidRPr="003E4B6E" w:rsidRDefault="00B53EBD" w:rsidP="00390597">
            <w:pPr>
              <w:pStyle w:val="Style2"/>
              <w:rPr>
                <w:sz w:val="24"/>
                <w:szCs w:val="24"/>
              </w:rPr>
            </w:pPr>
            <w:r w:rsidRPr="003E4B6E">
              <w:rPr>
                <w:b/>
                <w:bCs w:val="0"/>
                <w:sz w:val="24"/>
                <w:szCs w:val="24"/>
              </w:rPr>
              <w:t>Valsts ugunsdzēsības un glābšanas dienests</w:t>
            </w:r>
          </w:p>
        </w:tc>
      </w:tr>
      <w:tr w:rsidR="003E4B6E" w:rsidRPr="003E4B6E" w14:paraId="515915A1" w14:textId="77777777" w:rsidTr="0039059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6FCD" w14:textId="77777777" w:rsidR="00FA4A26" w:rsidRPr="003E4B6E" w:rsidRDefault="00FA4A26" w:rsidP="00390597">
            <w:pPr>
              <w:pStyle w:val="TOC1"/>
              <w:jc w:val="both"/>
              <w:rPr>
                <w:sz w:val="24"/>
                <w:szCs w:val="24"/>
              </w:rPr>
            </w:pPr>
            <w:r w:rsidRPr="003E4B6E">
              <w:rPr>
                <w:sz w:val="24"/>
                <w:szCs w:val="24"/>
              </w:rPr>
              <w:t>Kontaktpersona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103E" w14:textId="6507C264" w:rsidR="00FA4A26" w:rsidRPr="003E4B6E" w:rsidRDefault="00FB64F6" w:rsidP="0039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B6E">
              <w:rPr>
                <w:rFonts w:ascii="Times New Roman" w:hAnsi="Times New Roman"/>
                <w:sz w:val="24"/>
                <w:szCs w:val="24"/>
              </w:rPr>
              <w:t>Irita Slavinska</w:t>
            </w:r>
            <w:r w:rsidR="00B53EBD" w:rsidRPr="003E4B6E">
              <w:rPr>
                <w:rFonts w:ascii="Times New Roman" w:hAnsi="Times New Roman"/>
                <w:sz w:val="24"/>
                <w:szCs w:val="24"/>
              </w:rPr>
              <w:t xml:space="preserve"> tel.</w:t>
            </w:r>
            <w:r w:rsidRPr="003E4B6E">
              <w:rPr>
                <w:rFonts w:ascii="Times New Roman" w:hAnsi="Times New Roman"/>
                <w:sz w:val="24"/>
                <w:szCs w:val="24"/>
              </w:rPr>
              <w:t>n</w:t>
            </w:r>
            <w:r w:rsidR="00B53EBD" w:rsidRPr="003E4B6E">
              <w:rPr>
                <w:rFonts w:ascii="Times New Roman" w:hAnsi="Times New Roman"/>
                <w:sz w:val="24"/>
                <w:szCs w:val="24"/>
              </w:rPr>
              <w:t>r.:</w:t>
            </w:r>
            <w:r w:rsidRPr="003E4B6E">
              <w:rPr>
                <w:rFonts w:ascii="Times New Roman" w:hAnsi="Times New Roman"/>
                <w:sz w:val="24"/>
                <w:szCs w:val="24"/>
              </w:rPr>
              <w:t xml:space="preserve"> 25729605</w:t>
            </w:r>
          </w:p>
        </w:tc>
      </w:tr>
    </w:tbl>
    <w:p w14:paraId="619FAC1C" w14:textId="77777777" w:rsidR="00FA4A26" w:rsidRPr="003E4B6E" w:rsidRDefault="00FA4A26" w:rsidP="00FA4A26">
      <w:pPr>
        <w:pStyle w:val="Heading2"/>
        <w:keepLines w:val="0"/>
        <w:spacing w:before="0" w:line="240" w:lineRule="auto"/>
        <w:ind w:left="50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59A9A38" w14:textId="77777777" w:rsidR="00FA4A26" w:rsidRPr="003E4B6E" w:rsidRDefault="00FA4A26" w:rsidP="00FA4A26">
      <w:pPr>
        <w:pStyle w:val="Heading2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B6E">
        <w:rPr>
          <w:rFonts w:ascii="Times New Roman" w:hAnsi="Times New Roman"/>
          <w:b/>
          <w:bCs/>
          <w:color w:val="auto"/>
          <w:sz w:val="24"/>
          <w:szCs w:val="24"/>
        </w:rPr>
        <w:t>Piedāvājuma izvēles kritērijs:</w:t>
      </w:r>
      <w:r w:rsidRPr="003E4B6E">
        <w:rPr>
          <w:rFonts w:ascii="Times New Roman" w:hAnsi="Times New Roman"/>
          <w:bCs/>
          <w:color w:val="auto"/>
          <w:sz w:val="24"/>
          <w:szCs w:val="24"/>
        </w:rPr>
        <w:t xml:space="preserve"> piedāvājums ar viszemāko cenu, kas pilnībā atbilst uzaicinājuma prasībām.</w:t>
      </w:r>
    </w:p>
    <w:p w14:paraId="571B2D56" w14:textId="77777777" w:rsidR="00FA4A26" w:rsidRPr="003E4B6E" w:rsidRDefault="00FA4A26" w:rsidP="00FA4A26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E4B6E">
        <w:rPr>
          <w:rFonts w:ascii="Times New Roman" w:hAnsi="Times New Roman"/>
          <w:b/>
          <w:bCs/>
          <w:color w:val="auto"/>
          <w:sz w:val="24"/>
          <w:szCs w:val="24"/>
        </w:rPr>
        <w:t xml:space="preserve">Pretendents iesniedz piedāvājumu: </w:t>
      </w:r>
      <w:r w:rsidRPr="003E4B6E">
        <w:rPr>
          <w:rFonts w:ascii="Times New Roman" w:hAnsi="Times New Roman"/>
          <w:bCs/>
          <w:color w:val="auto"/>
          <w:sz w:val="24"/>
          <w:szCs w:val="24"/>
        </w:rPr>
        <w:t>finanšu piedāvājumu un pretendenta tehnisko piedāvājumu atbilstoši piedāvājuma iesniegšanas formai (1. un 2.pielikums).</w:t>
      </w:r>
    </w:p>
    <w:p w14:paraId="48A711A9" w14:textId="1FE44950" w:rsidR="00FA4A26" w:rsidRPr="003E4B6E" w:rsidRDefault="00FA4A26" w:rsidP="00B53EBD">
      <w:pPr>
        <w:pStyle w:val="Heading2"/>
        <w:keepNext w:val="0"/>
        <w:keepLines w:val="0"/>
        <w:widowControl w:val="0"/>
        <w:numPr>
          <w:ilvl w:val="0"/>
          <w:numId w:val="6"/>
        </w:numPr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3E4B6E">
        <w:rPr>
          <w:rFonts w:ascii="Times New Roman" w:hAnsi="Times New Roman"/>
          <w:b/>
          <w:bCs/>
          <w:color w:val="auto"/>
          <w:sz w:val="24"/>
          <w:szCs w:val="24"/>
        </w:rPr>
        <w:t>Piedāvājums iesniedzams:</w:t>
      </w:r>
      <w:r w:rsidRPr="003E4B6E">
        <w:rPr>
          <w:rFonts w:ascii="Times New Roman" w:hAnsi="Times New Roman"/>
          <w:color w:val="auto"/>
          <w:sz w:val="24"/>
          <w:szCs w:val="24"/>
        </w:rPr>
        <w:t xml:space="preserve"> līdz 2025.gada </w:t>
      </w:r>
      <w:r w:rsidR="00FB64F6" w:rsidRPr="003E4B6E">
        <w:rPr>
          <w:rFonts w:ascii="Times New Roman" w:hAnsi="Times New Roman"/>
          <w:color w:val="auto"/>
          <w:sz w:val="24"/>
          <w:szCs w:val="24"/>
        </w:rPr>
        <w:t>1</w:t>
      </w:r>
      <w:r w:rsidR="00902BF6">
        <w:rPr>
          <w:rFonts w:ascii="Times New Roman" w:hAnsi="Times New Roman"/>
          <w:color w:val="auto"/>
          <w:sz w:val="24"/>
          <w:szCs w:val="24"/>
        </w:rPr>
        <w:t>5</w:t>
      </w:r>
      <w:r w:rsidR="00B53EBD" w:rsidRPr="003E4B6E">
        <w:rPr>
          <w:rFonts w:ascii="Times New Roman" w:hAnsi="Times New Roman"/>
          <w:color w:val="auto"/>
          <w:sz w:val="24"/>
          <w:szCs w:val="24"/>
        </w:rPr>
        <w:t>.</w:t>
      </w:r>
      <w:r w:rsidR="00FB64F6" w:rsidRPr="003E4B6E">
        <w:rPr>
          <w:rFonts w:ascii="Times New Roman" w:hAnsi="Times New Roman"/>
          <w:color w:val="auto"/>
          <w:sz w:val="24"/>
          <w:szCs w:val="24"/>
        </w:rPr>
        <w:t>jūnijam</w:t>
      </w:r>
      <w:r w:rsidR="00B53EBD" w:rsidRPr="003E4B6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45FF3" w:rsidRPr="003E4B6E">
        <w:rPr>
          <w:rFonts w:ascii="Times New Roman" w:hAnsi="Times New Roman"/>
          <w:color w:val="auto"/>
          <w:sz w:val="24"/>
          <w:szCs w:val="24"/>
        </w:rPr>
        <w:t xml:space="preserve"> (ieskaitot) </w:t>
      </w:r>
      <w:r w:rsidRPr="003E4B6E">
        <w:rPr>
          <w:rFonts w:ascii="Times New Roman" w:hAnsi="Times New Roman"/>
          <w:color w:val="auto"/>
          <w:sz w:val="24"/>
          <w:szCs w:val="24"/>
        </w:rPr>
        <w:t>elektroniski:</w:t>
      </w:r>
      <w:r w:rsidR="00B53EBD" w:rsidRPr="003E4B6E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8" w:history="1">
        <w:r w:rsidR="00FB64F6" w:rsidRPr="003E4B6E">
          <w:rPr>
            <w:rStyle w:val="Hyperlink"/>
            <w:rFonts w:ascii="Times New Roman" w:hAnsi="Times New Roman"/>
            <w:color w:val="auto"/>
            <w:sz w:val="24"/>
            <w:szCs w:val="24"/>
          </w:rPr>
          <w:t>irita.slavinska@vugd.gov.lv</w:t>
        </w:r>
      </w:hyperlink>
      <w:r w:rsidR="00E45FF3" w:rsidRPr="003E4B6E">
        <w:rPr>
          <w:rStyle w:val="Hyperlink"/>
          <w:rFonts w:ascii="Times New Roman" w:hAnsi="Times New Roman"/>
          <w:color w:val="auto"/>
          <w:sz w:val="24"/>
          <w:szCs w:val="24"/>
        </w:rPr>
        <w:t xml:space="preserve"> </w:t>
      </w:r>
      <w:r w:rsidR="00E45FF3" w:rsidRPr="003E4B6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C5D5CEE" w14:textId="5355C3B1" w:rsidR="00073620" w:rsidRPr="003E4B6E" w:rsidRDefault="00073620" w:rsidP="00073620">
      <w:pPr>
        <w:pStyle w:val="ListParagraph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4B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Apmaksa:</w:t>
      </w:r>
      <w:r w:rsidRPr="003E4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Pēcapmaksas rēķins/pavadzīme</w:t>
      </w:r>
      <w:r w:rsidR="00E45FF3" w:rsidRPr="003E4B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4C2FCD0" w14:textId="77777777" w:rsidR="00073620" w:rsidRPr="003E4B6E" w:rsidRDefault="00073620" w:rsidP="00073620">
      <w:pPr>
        <w:pStyle w:val="ListParagraph"/>
        <w:ind w:left="502"/>
      </w:pPr>
    </w:p>
    <w:p w14:paraId="3769960C" w14:textId="77777777" w:rsidR="00FA4A26" w:rsidRPr="003E4B6E" w:rsidRDefault="00FA4A26" w:rsidP="00FA4A26">
      <w:pPr>
        <w:tabs>
          <w:tab w:val="num" w:pos="720"/>
        </w:tabs>
        <w:ind w:left="720" w:hanging="720"/>
      </w:pPr>
    </w:p>
    <w:p w14:paraId="68AE2612" w14:textId="77777777" w:rsidR="00FA4A26" w:rsidRPr="003E4B6E" w:rsidRDefault="00073620" w:rsidP="00FA4A26">
      <w:pPr>
        <w:tabs>
          <w:tab w:val="num" w:pos="720"/>
        </w:tabs>
        <w:ind w:left="720" w:hanging="720"/>
      </w:pPr>
      <w:r w:rsidRPr="003E4B6E">
        <w:rPr>
          <w:noProof/>
          <w:sz w:val="24"/>
          <w:szCs w:val="24"/>
          <w:lang w:eastAsia="lv-LV"/>
        </w:rPr>
        <w:drawing>
          <wp:inline distT="0" distB="0" distL="0" distR="0" wp14:anchorId="226EB7FC" wp14:editId="0C95038F">
            <wp:extent cx="2573020" cy="980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766F6" w14:textId="77777777" w:rsidR="00FA4A26" w:rsidRPr="003E4B6E" w:rsidRDefault="00FA4A26" w:rsidP="00FA4A26">
      <w:pPr>
        <w:tabs>
          <w:tab w:val="num" w:pos="720"/>
        </w:tabs>
        <w:ind w:left="720" w:hanging="720"/>
      </w:pPr>
    </w:p>
    <w:p w14:paraId="5D35F72F" w14:textId="77777777" w:rsidR="00FA4A26" w:rsidRPr="003E4B6E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A589DD0" w14:textId="77777777" w:rsidR="00FA4A26" w:rsidRPr="003E4B6E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AB294D" w14:textId="77777777" w:rsidR="00FA4A26" w:rsidRPr="003E4B6E" w:rsidRDefault="00FA4A26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E4B6E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255C48D0" w14:textId="77777777" w:rsidR="00FA4A26" w:rsidRPr="003E4B6E" w:rsidRDefault="00FA4A26" w:rsidP="00FA4A26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0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 w:rsidRPr="003E4B6E"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 xml:space="preserve">1.pielikums </w:t>
      </w:r>
    </w:p>
    <w:p w14:paraId="6062253C" w14:textId="77777777" w:rsidR="00FA4A26" w:rsidRPr="003E4B6E" w:rsidRDefault="00FA4A26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3B4830" w14:textId="77777777" w:rsidR="004139ED" w:rsidRPr="003E4B6E" w:rsidRDefault="004139ED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4B6E">
        <w:rPr>
          <w:rFonts w:ascii="Times New Roman" w:eastAsia="Times New Roman" w:hAnsi="Times New Roman" w:cs="Times New Roman"/>
          <w:b/>
          <w:sz w:val="26"/>
          <w:szCs w:val="26"/>
        </w:rPr>
        <w:t>Finanšu piedāvājums</w:t>
      </w:r>
    </w:p>
    <w:p w14:paraId="6D4D27A9" w14:textId="2A718BAA" w:rsidR="004139ED" w:rsidRPr="003E4B6E" w:rsidRDefault="004139ED" w:rsidP="00FB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E4B6E">
        <w:rPr>
          <w:rFonts w:ascii="Times New Roman" w:eastAsia="Times New Roman" w:hAnsi="Times New Roman" w:cs="Times New Roman"/>
          <w:b/>
          <w:sz w:val="26"/>
          <w:szCs w:val="26"/>
        </w:rPr>
        <w:t>Iepirkuma daļai “</w:t>
      </w:r>
      <w:r w:rsidR="00E45FF3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Valsts</w:t>
      </w:r>
      <w:r w:rsidR="00B85663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E45FF3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ugunsdzesības</w:t>
      </w:r>
      <w:proofErr w:type="spellEnd"/>
      <w:r w:rsidR="00E45FF3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un glābšanas dienesta</w:t>
      </w:r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spēļu iegādāšana projekta </w:t>
      </w:r>
      <w:proofErr w:type="spellStart"/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PeatFire</w:t>
      </w:r>
      <w:proofErr w:type="spellEnd"/>
      <w:r w:rsidR="00FB64F6" w:rsidRPr="003E4B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ietvaros </w:t>
      </w:r>
      <w:r w:rsidRPr="003E4B6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43F77083" w14:textId="77777777" w:rsidR="00FA4A26" w:rsidRPr="003E4B6E" w:rsidRDefault="00FA4A26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311"/>
      </w:tblGrid>
      <w:tr w:rsidR="003E4B6E" w:rsidRPr="003E4B6E" w14:paraId="0B40C05D" w14:textId="77777777" w:rsidTr="00EB5BBB">
        <w:tc>
          <w:tcPr>
            <w:tcW w:w="2756" w:type="dxa"/>
            <w:shd w:val="clear" w:color="auto" w:fill="auto"/>
          </w:tcPr>
          <w:p w14:paraId="06A41DA5" w14:textId="77777777" w:rsidR="00FA4A26" w:rsidRPr="003E4B6E" w:rsidRDefault="00FA4A26" w:rsidP="00E14CEF">
            <w:pPr>
              <w:rPr>
                <w:rFonts w:ascii="Times New Roman" w:hAnsi="Times New Roman"/>
                <w:sz w:val="24"/>
                <w:szCs w:val="24"/>
              </w:rPr>
            </w:pPr>
            <w:r w:rsidRPr="003E4B6E">
              <w:rPr>
                <w:rFonts w:ascii="Times New Roman" w:hAnsi="Times New Roman"/>
                <w:sz w:val="24"/>
                <w:szCs w:val="24"/>
              </w:rPr>
              <w:t>1. Pasūtītie pakalpojumi/preces:</w:t>
            </w:r>
          </w:p>
        </w:tc>
        <w:tc>
          <w:tcPr>
            <w:tcW w:w="6311" w:type="dxa"/>
            <w:shd w:val="clear" w:color="auto" w:fill="auto"/>
          </w:tcPr>
          <w:p w14:paraId="29708AD2" w14:textId="77777777" w:rsidR="00FB64F6" w:rsidRPr="003E4B6E" w:rsidRDefault="00FB64F6" w:rsidP="00E14CEF">
            <w:pPr>
              <w:keepNext/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E4B6E">
              <w:rPr>
                <w:rFonts w:ascii="Times New Roman" w:hAnsi="Times New Roman"/>
                <w:sz w:val="24"/>
                <w:szCs w:val="24"/>
              </w:rPr>
              <w:t>Spēles:</w:t>
            </w:r>
          </w:p>
          <w:p w14:paraId="599AD149" w14:textId="26388140" w:rsidR="00FA4A26" w:rsidRPr="003E4B6E" w:rsidRDefault="003E4B6E" w:rsidP="00FB64F6">
            <w:pPr>
              <w:pStyle w:val="ListParagraph"/>
              <w:keepNext/>
              <w:numPr>
                <w:ilvl w:val="0"/>
                <w:numId w:val="7"/>
              </w:num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64F6" w:rsidRPr="003E4B6E">
              <w:rPr>
                <w:rFonts w:ascii="Times New Roman" w:hAnsi="Times New Roman"/>
                <w:sz w:val="24"/>
                <w:szCs w:val="24"/>
              </w:rPr>
              <w:t>iela izmēra klasiska spēle Cirks (ar ugunsdzēsēju glābēju tematiku);</w:t>
            </w:r>
          </w:p>
          <w:p w14:paraId="6112046D" w14:textId="3BE8C472" w:rsidR="00FB64F6" w:rsidRPr="003E4B6E" w:rsidRDefault="003E4B6E" w:rsidP="00E14CEF">
            <w:pPr>
              <w:pStyle w:val="ListParagraph"/>
              <w:keepNext/>
              <w:numPr>
                <w:ilvl w:val="0"/>
                <w:numId w:val="7"/>
              </w:numPr>
              <w:suppressAutoHyphens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B64F6" w:rsidRPr="003E4B6E">
              <w:rPr>
                <w:rFonts w:ascii="Times New Roman" w:hAnsi="Times New Roman"/>
                <w:sz w:val="24"/>
                <w:szCs w:val="24"/>
              </w:rPr>
              <w:t>tmiņas spēle (ar ugunsdzēsēju glābēju tematiku).</w:t>
            </w:r>
          </w:p>
        </w:tc>
      </w:tr>
      <w:tr w:rsidR="00B53EBD" w:rsidRPr="003E4B6E" w14:paraId="7C80DB0D" w14:textId="77777777" w:rsidTr="00073620">
        <w:trPr>
          <w:trHeight w:val="874"/>
        </w:trPr>
        <w:tc>
          <w:tcPr>
            <w:tcW w:w="2756" w:type="dxa"/>
            <w:shd w:val="clear" w:color="auto" w:fill="auto"/>
          </w:tcPr>
          <w:p w14:paraId="4E205F70" w14:textId="77777777" w:rsidR="00FA4A26" w:rsidRPr="003E4B6E" w:rsidRDefault="00FA4A26" w:rsidP="00E14CEF">
            <w:pPr>
              <w:rPr>
                <w:rFonts w:ascii="Times New Roman" w:hAnsi="Times New Roman"/>
                <w:sz w:val="24"/>
                <w:szCs w:val="24"/>
              </w:rPr>
            </w:pPr>
            <w:r w:rsidRPr="003E4B6E">
              <w:rPr>
                <w:rFonts w:ascii="Times New Roman" w:hAnsi="Times New Roman"/>
                <w:sz w:val="24"/>
                <w:szCs w:val="24"/>
              </w:rPr>
              <w:t>2. Pakalpojuma sniegšanas /preču piegādes vieta un laiks:</w:t>
            </w:r>
          </w:p>
        </w:tc>
        <w:tc>
          <w:tcPr>
            <w:tcW w:w="6311" w:type="dxa"/>
            <w:shd w:val="clear" w:color="auto" w:fill="auto"/>
          </w:tcPr>
          <w:p w14:paraId="4AFA399B" w14:textId="78A3DCF5" w:rsidR="00FA4A26" w:rsidRPr="003E4B6E" w:rsidRDefault="00FB64F6" w:rsidP="00B53EBD">
            <w:pPr>
              <w:rPr>
                <w:rFonts w:ascii="Times New Roman" w:hAnsi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Spēles piegādāt līdz 2025.gada </w:t>
            </w:r>
            <w:r w:rsidR="00902B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4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.jū</w:t>
            </w:r>
            <w:r w:rsidR="00902BF6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ijam, pēc adreses Rīgas iela 1/3, Daugavpils.</w:t>
            </w:r>
          </w:p>
        </w:tc>
      </w:tr>
    </w:tbl>
    <w:p w14:paraId="76608991" w14:textId="77777777" w:rsidR="00FA4A26" w:rsidRPr="003E4B6E" w:rsidRDefault="00FA4A26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8A65A7" w14:textId="77777777" w:rsidR="00FA4A26" w:rsidRPr="003E4B6E" w:rsidRDefault="00FA4A26" w:rsidP="00FA4A26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4B6E">
        <w:rPr>
          <w:rFonts w:ascii="Times New Roman" w:hAnsi="Times New Roman"/>
          <w:b/>
          <w:caps/>
          <w:sz w:val="24"/>
          <w:szCs w:val="24"/>
        </w:rPr>
        <w:t>Tehniskā specifikācija un pretendenta tehniskais piedāvājums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368"/>
      </w:tblGrid>
      <w:tr w:rsidR="003E4B6E" w:rsidRPr="003E4B6E" w14:paraId="21268356" w14:textId="77777777" w:rsidTr="00EB5BBB">
        <w:trPr>
          <w:trHeight w:val="78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9C1" w14:textId="77777777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Mērķis: </w:t>
            </w:r>
          </w:p>
          <w:p w14:paraId="7C992BBE" w14:textId="77777777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EBB4" w14:textId="65F37701" w:rsidR="00E45FF3" w:rsidRPr="003E4B6E" w:rsidRDefault="007412EF" w:rsidP="00E45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Spēles galvenais mērķis</w:t>
            </w:r>
            <w:r w:rsidR="00E45FF3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ir stiprināt sabiedrības zināšanas par to, kā rīkoties kūdras savvaļas ugunsgrēku situācijās un kā tās novērst.</w:t>
            </w:r>
          </w:p>
          <w:p w14:paraId="1B3025CA" w14:textId="342D50B0" w:rsidR="004139ED" w:rsidRPr="003E4B6E" w:rsidRDefault="00E45FF3" w:rsidP="00413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Kā arī i</w:t>
            </w:r>
            <w:r w:rsidR="007412EF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nformēt 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cilvēkus</w:t>
            </w:r>
            <w:r w:rsidR="007412EF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par ugunsdzēsēju glābēju profesiju, rīcību ugunsgrēka gadījumā, 112 telefona numuru. </w:t>
            </w:r>
          </w:p>
        </w:tc>
      </w:tr>
      <w:tr w:rsidR="003E4B6E" w:rsidRPr="003E4B6E" w14:paraId="704FB1D6" w14:textId="77777777" w:rsidTr="00EB5BBB">
        <w:trPr>
          <w:trHeight w:val="73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29F" w14:textId="77777777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Mērķa grupa: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B96E" w14:textId="6CDD5663" w:rsidR="004139ED" w:rsidRPr="003E4B6E" w:rsidRDefault="007412EF" w:rsidP="004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Bērni</w:t>
            </w:r>
            <w:r w:rsidR="00E45FF3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un pieaugušie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kas piedalīsies VUGD LRP organizēt</w:t>
            </w:r>
            <w:r w:rsidR="00B85663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a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jos </w:t>
            </w:r>
            <w:r w:rsidR="00E45FF3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publiskajos 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pasākumos</w:t>
            </w:r>
            <w:r w:rsidR="00E45FF3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3E4B6E" w:rsidRPr="003E4B6E" w14:paraId="35D9D433" w14:textId="77777777" w:rsidTr="00EB5BBB">
        <w:trPr>
          <w:trHeight w:val="10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1F1" w14:textId="35B46A18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Iegūstamās kompetences: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31D" w14:textId="6CE9FE7F" w:rsidR="004139ED" w:rsidRPr="003E4B6E" w:rsidRDefault="00E45FF3" w:rsidP="00413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Iedzīvotāju</w:t>
            </w:r>
            <w:r w:rsidR="007412EF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spēja rīkoties atbilstoši </w:t>
            </w:r>
            <w:r w:rsidR="008C5AB0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situācijai. Prasme piezvanīt uz 112 numuru,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ja ir redzams kūdras ugunsgrēks,</w:t>
            </w:r>
            <w:r w:rsidR="008C5AB0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izsaukt ugunsdzēsējus glābējus. 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="008C5AB0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ināšanas par 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kūdras ugunsgrēkiem</w:t>
            </w:r>
            <w:r w:rsidR="006A65C7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kā arī par</w:t>
            </w:r>
            <w:r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C5AB0" w:rsidRPr="003E4B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ugunsdzēsēju glābēju profesiju.</w:t>
            </w:r>
          </w:p>
        </w:tc>
      </w:tr>
      <w:tr w:rsidR="003E4B6E" w:rsidRPr="003E4B6E" w14:paraId="1AD69055" w14:textId="77777777" w:rsidTr="00EB5BBB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B41" w14:textId="77777777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Saturs: </w:t>
            </w:r>
          </w:p>
          <w:p w14:paraId="40BB0E1B" w14:textId="77777777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311" w14:textId="1F99E5A2" w:rsidR="004139ED" w:rsidRPr="003E4B6E" w:rsidRDefault="008C5AB0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LIEL</w:t>
            </w:r>
            <w:r w:rsidR="00B85663"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</w:t>
            </w: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IZMĒRA KLASISKA SPĒLE CIRKS (AR UGUNSDZĒSĒJU GLĀBĒJU TEMATIKU)</w:t>
            </w:r>
          </w:p>
          <w:p w14:paraId="3331133E" w14:textId="77777777" w:rsidR="00535441" w:rsidRPr="003E4B6E" w:rsidRDefault="00535441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4BE7F3B6" w14:textId="3BA8176F" w:rsidR="008C5AB0" w:rsidRPr="003E4B6E" w:rsidRDefault="008C5AB0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Spēles laukums – PVC </w:t>
            </w:r>
            <w:proofErr w:type="spellStart"/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kura izmērs ir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vismaz 3</w:t>
            </w:r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etri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3</w:t>
            </w:r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etri;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3ADCC3" w14:textId="39001AB9" w:rsidR="008C5AB0" w:rsidRPr="003E4B6E" w:rsidRDefault="008C5AB0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Ūdensizturīgs</w:t>
            </w:r>
            <w:r w:rsidR="00E97186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ilgstoši lietojams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materiāls, lai būtu izmantojams kā ārpus telpas, tā arī telpās</w:t>
            </w:r>
            <w:r w:rsidR="00535441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30D747" w14:textId="15210ADB" w:rsidR="00535441" w:rsidRPr="003E4B6E" w:rsidRDefault="00535441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Vismaz četri mietiņi  spēles stiprināšanai pie zemes;</w:t>
            </w:r>
          </w:p>
          <w:p w14:paraId="544EEE99" w14:textId="05AD5AE7" w:rsidR="00535441" w:rsidRPr="003E4B6E" w:rsidRDefault="00535441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Dažād</w:t>
            </w:r>
            <w:r w:rsidR="00E97186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krās</w:t>
            </w:r>
            <w:r w:rsidR="00E97186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plastikāta konusi – vismaz pieci gabali;</w:t>
            </w:r>
          </w:p>
          <w:p w14:paraId="262753FC" w14:textId="25875386" w:rsidR="00535441" w:rsidRPr="003E4B6E" w:rsidRDefault="00535441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Divi metamie kauliņi;</w:t>
            </w:r>
          </w:p>
          <w:p w14:paraId="6A5F54A1" w14:textId="780EFE49" w:rsidR="00535441" w:rsidRPr="003E4B6E" w:rsidRDefault="00535441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Uzglabāšanas kaste vai soma</w:t>
            </w:r>
            <w:r w:rsidR="001A2B34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ko viegli un ērti pārvietot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935335" w14:textId="3F4D69E3" w:rsidR="00535441" w:rsidRPr="003E4B6E" w:rsidRDefault="00535441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Zīmējumi uz spēles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laukuma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(ugunsdzēsējs glābējs, autocisterna, </w:t>
            </w:r>
            <w:proofErr w:type="spellStart"/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autokāpnes</w:t>
            </w:r>
            <w:proofErr w:type="spellEnd"/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dūmu detektors, ugunsdzēsības pārklājs, 112 numurs, 112 aplikācija, ugunsdzēsības aparāts, ugunsgrēks,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kūdras ugunsgrēks, sausās zāles ugunsgrēks, informācija, ko vajag teikt, zvanot uz 112 numuru,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n cit</w:t>
            </w:r>
            <w:r w:rsidR="00B85663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visi zīmējumi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spēles dizains un makets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precīzi tiks apspriest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pasūtījuma </w:t>
            </w:r>
            <w:r w:rsidR="006A65C7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66CE0F3" w14:textId="6F54A1CA" w:rsidR="00535441" w:rsidRPr="003E4B6E" w:rsidRDefault="00535441" w:rsidP="00535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F0FB75" wp14:editId="6A1078DC">
                  <wp:extent cx="1645920" cy="12258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45" cy="1239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198312" w14:textId="77777777" w:rsidR="00535441" w:rsidRPr="003E4B6E" w:rsidRDefault="00535441" w:rsidP="0053544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Attēlā ir ilustrēts aptuvenais spēles vizuālais un konceptuālais izskats, kādu sagaida pasūtītājs.</w:t>
            </w:r>
          </w:p>
          <w:p w14:paraId="6643E6AB" w14:textId="77777777" w:rsidR="00535441" w:rsidRPr="003E4B6E" w:rsidRDefault="00535441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42B4C94" w14:textId="77777777" w:rsidR="00535441" w:rsidRPr="003E4B6E" w:rsidRDefault="00535441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ATMIŅAS SPĒLE </w:t>
            </w:r>
          </w:p>
          <w:p w14:paraId="05DD6C72" w14:textId="5C40272A" w:rsidR="004139ED" w:rsidRPr="003E4B6E" w:rsidRDefault="00535441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(AR UGUNSDZĒSĒJU GLĀBĒJU TEMATIKU)</w:t>
            </w:r>
          </w:p>
          <w:p w14:paraId="6EF0DF0D" w14:textId="77777777" w:rsidR="00535441" w:rsidRPr="003E4B6E" w:rsidRDefault="00535441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A95F276" w14:textId="5B9AC3ED" w:rsidR="004139ED" w:rsidRPr="003E4B6E" w:rsidRDefault="00535441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Vismaz 15 kartiņu pāri, kuru izmēri nav mazāki par 25cm x 25 cm</w:t>
            </w:r>
            <w:r w:rsidR="001A2B34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19CF51" w14:textId="20BEA041" w:rsidR="001A2B34" w:rsidRPr="003E4B6E" w:rsidRDefault="001A2B34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Kartiņu materiāls – ūdensizturīgs, ilgstoši lietojams, praktisks, nelok</w:t>
            </w:r>
            <w:r w:rsidR="00B85663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ms, ciets, relatīvi viegls (varētu būt, piemēram</w:t>
            </w:r>
            <w:r w:rsidR="00360F69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lakots finieris);</w:t>
            </w:r>
          </w:p>
          <w:p w14:paraId="48DD767B" w14:textId="17D8A15A" w:rsidR="001A2B34" w:rsidRPr="003E4B6E" w:rsidRDefault="001A2B34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Uzglabāšanas kaste vai soma, ko viegli un ērti pārvietot;</w:t>
            </w:r>
          </w:p>
          <w:p w14:paraId="5F13C8C2" w14:textId="264422D7" w:rsidR="001A2B34" w:rsidRPr="003E4B6E" w:rsidRDefault="001A2B34" w:rsidP="001A2B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Vizuālais noformējums – ugunsdzēsēju glābēju tematika (ugunsgrēks, autocisterna, </w:t>
            </w:r>
            <w:proofErr w:type="spellStart"/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autokāpnes</w:t>
            </w:r>
            <w:proofErr w:type="spellEnd"/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ugunsdzēsības aparāts, dūmu detektors, ugunsdzēsības pārklājs, 112 aplikācija, 112 telefona numurs, ugunsdzēsējs glābējs, ceļu satiksmes negadījums, negadījums uz ūdens</w:t>
            </w:r>
            <w:r w:rsidR="00360F69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, kūdras ugunsgrēks, sausās zāles ugunsgrēks, pareiza rīcība ugunsgrēka izcelšanās gadījumā, informācija, ko vajag paziņot, zvanot uz 112 numuru -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F69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visi zīmējumi, spēles dizains un makets precīzi tiks apspriests pasūtījuma gadījumā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31F802E9" w14:textId="77777777" w:rsidR="004139ED" w:rsidRPr="003E4B6E" w:rsidRDefault="001A2B34" w:rsidP="001A2B34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219438" wp14:editId="16538347">
                  <wp:extent cx="2426335" cy="12985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D830D7" w14:textId="420CDB6D" w:rsidR="001A2B34" w:rsidRPr="003E4B6E" w:rsidRDefault="001A2B34" w:rsidP="001A2B34">
            <w:pPr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Attēlā ir ilustrēts aptuvenais spēles vizuālais un konceptuālais izskats, kādu sagaida pasūtītājs.</w:t>
            </w:r>
          </w:p>
        </w:tc>
      </w:tr>
      <w:tr w:rsidR="003E4B6E" w:rsidRPr="003E4B6E" w14:paraId="379E4A1E" w14:textId="77777777" w:rsidTr="00EB5BBB">
        <w:trPr>
          <w:trHeight w:val="79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8E4" w14:textId="14F98004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Metode: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C42" w14:textId="1FEE8C8D" w:rsidR="004139ED" w:rsidRPr="003E4B6E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Praktisk</w:t>
            </w:r>
            <w:r w:rsidR="001A2B34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i lietojamās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2B34"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spēles</w:t>
            </w: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8E2814" w14:textId="77777777" w:rsidR="003F3D17" w:rsidRPr="003E4B6E" w:rsidRDefault="003F3D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3E4B6E" w:rsidRPr="003E4B6E" w14:paraId="61AD1384" w14:textId="77777777" w:rsidTr="003F3D17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FED" w14:textId="0F091703" w:rsidR="004139ED" w:rsidRPr="003E4B6E" w:rsidRDefault="001A2B34" w:rsidP="000736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Spēļu nogādāšanu</w:t>
            </w:r>
            <w:r w:rsidR="004139ED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nodrošina izpildītājs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. Piegādes adrese – Rīgas iela 1/3, Daugavpils.</w:t>
            </w:r>
          </w:p>
        </w:tc>
      </w:tr>
      <w:tr w:rsidR="003E4B6E" w:rsidRPr="003E4B6E" w14:paraId="77A20E31" w14:textId="77777777" w:rsidTr="003F3D17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8C9" w14:textId="71B823BE" w:rsidR="004139ED" w:rsidRPr="003E4B6E" w:rsidRDefault="001A2B34" w:rsidP="000736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Pasūtījuma izpildīšanas laiks</w:t>
            </w:r>
            <w:r w:rsidR="004139ED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60870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līdz </w:t>
            </w:r>
            <w:r w:rsidR="00C35F48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F0297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F540A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.gad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="006926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4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jū</w:t>
            </w:r>
            <w:r w:rsidR="006926B5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ijam. </w:t>
            </w:r>
            <w:r w:rsidR="00C35F48"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B6E" w:rsidRPr="003E4B6E" w14:paraId="481ECE6E" w14:textId="77777777" w:rsidTr="003F3D17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701" w14:textId="66DBE280" w:rsidR="001A2B34" w:rsidRPr="003E4B6E" w:rsidRDefault="001A2B34" w:rsidP="001A2B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Pretendenta tehnisko piedāvājumu var nosūtīt līdz </w:t>
            </w: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2025.gada 1</w:t>
            </w:r>
            <w:r w:rsidR="00902B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.jū</w:t>
            </w:r>
            <w:r w:rsidR="00CF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ijam (ieskaitot)</w:t>
            </w:r>
          </w:p>
          <w:p w14:paraId="0C16C2D9" w14:textId="77777777" w:rsidR="001A2B34" w:rsidRPr="003E4B6E" w:rsidRDefault="001A2B34" w:rsidP="001A2B3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e-pasta adresi </w:t>
            </w:r>
            <w:hyperlink r:id="rId12" w:history="1">
              <w:r w:rsidRPr="003E4B6E">
                <w:rPr>
                  <w:rStyle w:val="Hyperlink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irita.slavinska@vugd.gov.lv</w:t>
              </w:r>
            </w:hyperlink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C2D980" w14:textId="17EB6782" w:rsidR="001A2B34" w:rsidRPr="003E4B6E" w:rsidRDefault="001A2B34" w:rsidP="000736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200099271"/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Jautājumu vai neskaidrību gadījumā zvanīt pa tālruni 25729605.</w:t>
            </w:r>
            <w:bookmarkEnd w:id="0"/>
          </w:p>
        </w:tc>
      </w:tr>
    </w:tbl>
    <w:p w14:paraId="1F077293" w14:textId="77777777" w:rsidR="00073620" w:rsidRPr="003E4B6E" w:rsidRDefault="00073620" w:rsidP="00352566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C34625" w14:textId="77777777" w:rsidR="00807286" w:rsidRPr="003E4B6E" w:rsidRDefault="00352566" w:rsidP="0035256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E4B6E">
        <w:rPr>
          <w:rFonts w:ascii="Times New Roman" w:eastAsia="Calibri" w:hAnsi="Times New Roman" w:cs="Times New Roman"/>
          <w:b/>
          <w:sz w:val="24"/>
          <w:szCs w:val="24"/>
        </w:rPr>
        <w:t>Prasības Pretendentam:</w:t>
      </w:r>
    </w:p>
    <w:p w14:paraId="207F827C" w14:textId="30C6C676" w:rsidR="00D91171" w:rsidRPr="003E4B6E" w:rsidRDefault="00A60870" w:rsidP="000736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B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1171" w:rsidRPr="003E4B6E">
        <w:rPr>
          <w:rFonts w:ascii="Times New Roman" w:eastAsia="Times New Roman" w:hAnsi="Times New Roman" w:cs="Times New Roman"/>
          <w:sz w:val="24"/>
          <w:szCs w:val="24"/>
        </w:rPr>
        <w:t>. Izstrādā spēles dizainu</w:t>
      </w:r>
      <w:r w:rsidR="00E575FC" w:rsidRPr="003E4B6E">
        <w:rPr>
          <w:rFonts w:ascii="Times New Roman" w:eastAsia="Times New Roman" w:hAnsi="Times New Roman" w:cs="Times New Roman"/>
          <w:sz w:val="24"/>
          <w:szCs w:val="24"/>
        </w:rPr>
        <w:t xml:space="preserve"> un maketu</w:t>
      </w:r>
      <w:r w:rsidR="00D91171" w:rsidRPr="003E4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6E3FE" w14:textId="20229FE2" w:rsidR="00A60870" w:rsidRPr="003E4B6E" w:rsidRDefault="00D91171" w:rsidP="000736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B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2FBE" w:rsidRPr="003E4B6E">
        <w:rPr>
          <w:rFonts w:ascii="Times New Roman" w:eastAsia="Times New Roman" w:hAnsi="Times New Roman" w:cs="Times New Roman"/>
          <w:sz w:val="24"/>
          <w:szCs w:val="24"/>
        </w:rPr>
        <w:t>Visas bildes, kas tiks izmantotas spēlēs – tiks saskaņotas ar pasūtītāju</w:t>
      </w:r>
      <w:r w:rsidR="00A60870" w:rsidRPr="003E4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3DC79" w14:textId="58042693" w:rsidR="000A1A49" w:rsidRPr="003E4B6E" w:rsidRDefault="00D91171" w:rsidP="00E971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B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0870" w:rsidRPr="003E4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7186" w:rsidRPr="003E4B6E">
        <w:rPr>
          <w:rFonts w:ascii="Times New Roman" w:eastAsia="Times New Roman" w:hAnsi="Times New Roman" w:cs="Times New Roman"/>
          <w:sz w:val="24"/>
          <w:szCs w:val="24"/>
        </w:rPr>
        <w:t xml:space="preserve">Pirms </w:t>
      </w:r>
      <w:r w:rsidRPr="003E4B6E">
        <w:rPr>
          <w:rFonts w:ascii="Times New Roman" w:eastAsia="Times New Roman" w:hAnsi="Times New Roman" w:cs="Times New Roman"/>
          <w:sz w:val="24"/>
          <w:szCs w:val="24"/>
        </w:rPr>
        <w:t>izgatavot</w:t>
      </w:r>
      <w:r w:rsidR="00E97186" w:rsidRPr="003E4B6E">
        <w:rPr>
          <w:rFonts w:ascii="Times New Roman" w:eastAsia="Times New Roman" w:hAnsi="Times New Roman" w:cs="Times New Roman"/>
          <w:sz w:val="24"/>
          <w:szCs w:val="24"/>
        </w:rPr>
        <w:t xml:space="preserve"> spēli – </w:t>
      </w:r>
      <w:r w:rsidRPr="003E4B6E">
        <w:rPr>
          <w:rFonts w:ascii="Times New Roman" w:eastAsia="Times New Roman" w:hAnsi="Times New Roman" w:cs="Times New Roman"/>
          <w:sz w:val="24"/>
          <w:szCs w:val="24"/>
        </w:rPr>
        <w:t>gala</w:t>
      </w:r>
      <w:r w:rsidR="00E97186" w:rsidRPr="003E4B6E">
        <w:rPr>
          <w:rFonts w:ascii="Times New Roman" w:eastAsia="Times New Roman" w:hAnsi="Times New Roman" w:cs="Times New Roman"/>
          <w:sz w:val="24"/>
          <w:szCs w:val="24"/>
        </w:rPr>
        <w:t xml:space="preserve"> variants tiks saskaņots ar pasūtītāju</w:t>
      </w:r>
      <w:r w:rsidR="00A60870" w:rsidRPr="003E4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0A2B3" w14:textId="61AC8E9C" w:rsidR="00E97186" w:rsidRPr="003E4B6E" w:rsidRDefault="00E97186" w:rsidP="00E971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DEB8C" w14:textId="77777777" w:rsidR="006F0297" w:rsidRPr="003E4B6E" w:rsidRDefault="006F029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4B6E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46120851" w14:textId="77777777" w:rsidR="003F3D17" w:rsidRPr="003E4B6E" w:rsidRDefault="003F3D17" w:rsidP="003F3D17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0"/>
        <w:rPr>
          <w:rFonts w:ascii="Times New Roman" w:eastAsia="Times New Roman" w:hAnsi="Times New Roman" w:cs="Cambria"/>
          <w:bCs/>
          <w:kern w:val="56"/>
          <w:sz w:val="24"/>
          <w:szCs w:val="28"/>
        </w:rPr>
      </w:pPr>
      <w:r w:rsidRPr="003E4B6E">
        <w:rPr>
          <w:rFonts w:ascii="Times New Roman" w:eastAsia="Times New Roman" w:hAnsi="Times New Roman" w:cs="Cambria"/>
          <w:bCs/>
          <w:kern w:val="56"/>
          <w:sz w:val="24"/>
          <w:szCs w:val="28"/>
        </w:rPr>
        <w:lastRenderedPageBreak/>
        <w:t xml:space="preserve">2.pielikums </w:t>
      </w:r>
    </w:p>
    <w:p w14:paraId="3CD5D694" w14:textId="77777777" w:rsidR="003F3D17" w:rsidRPr="003E4B6E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E4B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FINANŠU PIEDĀVĀJUMS</w:t>
      </w:r>
    </w:p>
    <w:p w14:paraId="7295CCB8" w14:textId="77777777" w:rsidR="003F3D17" w:rsidRPr="003E4B6E" w:rsidRDefault="003F3D17" w:rsidP="003F3D17">
      <w:pPr>
        <w:tabs>
          <w:tab w:val="left" w:pos="9072"/>
        </w:tabs>
        <w:suppressAutoHyphens/>
        <w:spacing w:after="0" w:line="240" w:lineRule="auto"/>
        <w:ind w:left="-993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DBB0B1" w14:textId="77777777" w:rsidR="003F3D17" w:rsidRPr="003E4B6E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4B6E">
        <w:rPr>
          <w:rFonts w:ascii="Times New Roman" w:eastAsia="Times New Roman" w:hAnsi="Times New Roman" w:cs="Times New Roman"/>
          <w:sz w:val="24"/>
          <w:szCs w:val="24"/>
          <w:lang w:eastAsia="zh-CN"/>
        </w:rPr>
        <w:t>Finanšu piedāvājuma cenā ietilpst visas ar tehniskajā specifikācijā noteikto prasību izpildi saistītās izmaksas, kā arī visas ar to netieši saistītās izmaksas.</w:t>
      </w:r>
    </w:p>
    <w:p w14:paraId="42166E43" w14:textId="77777777" w:rsidR="003F3D17" w:rsidRPr="003E4B6E" w:rsidRDefault="003F3D17" w:rsidP="003F3D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90D2D5" w14:textId="77777777" w:rsidR="003F3D17" w:rsidRPr="003E4B6E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03"/>
        <w:gridCol w:w="2073"/>
        <w:gridCol w:w="3090"/>
      </w:tblGrid>
      <w:tr w:rsidR="003E4B6E" w:rsidRPr="003E4B6E" w14:paraId="22CE1CD6" w14:textId="77777777" w:rsidTr="003D45AE">
        <w:tc>
          <w:tcPr>
            <w:tcW w:w="3256" w:type="dxa"/>
            <w:shd w:val="clear" w:color="auto" w:fill="D9D9D9"/>
          </w:tcPr>
          <w:p w14:paraId="5BF5350E" w14:textId="77777777" w:rsidR="003F3D17" w:rsidRPr="003E4B6E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Pasūtītās preces/pakalpojumi</w:t>
            </w:r>
          </w:p>
        </w:tc>
        <w:tc>
          <w:tcPr>
            <w:tcW w:w="903" w:type="dxa"/>
            <w:shd w:val="clear" w:color="auto" w:fill="D9D9D9"/>
          </w:tcPr>
          <w:p w14:paraId="690147B4" w14:textId="77777777" w:rsidR="003F3D17" w:rsidRPr="003E4B6E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073" w:type="dxa"/>
            <w:shd w:val="clear" w:color="auto" w:fill="D9D9D9"/>
          </w:tcPr>
          <w:p w14:paraId="7128BAA0" w14:textId="77777777" w:rsidR="003F3D17" w:rsidRPr="003E4B6E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EUR bez PVN</w:t>
            </w:r>
          </w:p>
        </w:tc>
        <w:tc>
          <w:tcPr>
            <w:tcW w:w="3090" w:type="dxa"/>
            <w:shd w:val="clear" w:color="auto" w:fill="D9D9D9"/>
          </w:tcPr>
          <w:p w14:paraId="428C7E17" w14:textId="77777777" w:rsidR="003F3D17" w:rsidRPr="003E4B6E" w:rsidRDefault="003F3D17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 EUR bez PVN</w:t>
            </w:r>
          </w:p>
        </w:tc>
      </w:tr>
      <w:tr w:rsidR="003E4B6E" w:rsidRPr="003E4B6E" w14:paraId="2434A203" w14:textId="77777777" w:rsidTr="003D45AE">
        <w:tc>
          <w:tcPr>
            <w:tcW w:w="3256" w:type="dxa"/>
            <w:shd w:val="clear" w:color="auto" w:fill="auto"/>
          </w:tcPr>
          <w:p w14:paraId="58350778" w14:textId="112BFCEF" w:rsidR="003F3D17" w:rsidRPr="003E4B6E" w:rsidRDefault="006926B5" w:rsidP="003F3D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6926B5">
              <w:rPr>
                <w:rFonts w:ascii="Times New Roman" w:hAnsi="Times New Roman"/>
                <w:sz w:val="24"/>
                <w:szCs w:val="24"/>
              </w:rPr>
              <w:t>iela izmēra klasiska spēle Cirks (ar ugunsdzēsēju glābēju tematiku)</w:t>
            </w:r>
            <w:r w:rsidR="006D7A2A">
              <w:rPr>
                <w:rFonts w:ascii="Times New Roman" w:hAnsi="Times New Roman"/>
                <w:sz w:val="24"/>
                <w:szCs w:val="24"/>
              </w:rPr>
              <w:t xml:space="preserve"> ar piegādi.</w:t>
            </w:r>
          </w:p>
        </w:tc>
        <w:tc>
          <w:tcPr>
            <w:tcW w:w="903" w:type="dxa"/>
            <w:shd w:val="clear" w:color="auto" w:fill="auto"/>
          </w:tcPr>
          <w:p w14:paraId="056C7C9C" w14:textId="77777777" w:rsidR="003F3D17" w:rsidRPr="003E4B6E" w:rsidRDefault="0072267E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2DF5235F" w14:textId="77777777" w:rsidR="003F3D17" w:rsidRPr="003E4B6E" w:rsidRDefault="003F3D17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305ABDEB" w14:textId="77777777" w:rsidR="003F3D17" w:rsidRPr="003E4B6E" w:rsidRDefault="003F3D17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6B5" w:rsidRPr="003E4B6E" w14:paraId="509EE51A" w14:textId="77777777" w:rsidTr="003D45AE">
        <w:tc>
          <w:tcPr>
            <w:tcW w:w="3256" w:type="dxa"/>
            <w:shd w:val="clear" w:color="auto" w:fill="auto"/>
          </w:tcPr>
          <w:p w14:paraId="3DC7B27C" w14:textId="5F931E76" w:rsidR="006926B5" w:rsidRDefault="006926B5" w:rsidP="003F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926B5">
              <w:rPr>
                <w:rFonts w:ascii="Times New Roman" w:hAnsi="Times New Roman"/>
                <w:sz w:val="24"/>
                <w:szCs w:val="24"/>
              </w:rPr>
              <w:t>tmiņas spēle (ar ugunsdzēsēju glābēju tematiku</w:t>
            </w:r>
            <w:r w:rsidR="006D7A2A">
              <w:rPr>
                <w:rFonts w:ascii="Times New Roman" w:hAnsi="Times New Roman"/>
                <w:sz w:val="24"/>
                <w:szCs w:val="24"/>
              </w:rPr>
              <w:t>) ar piegādi.</w:t>
            </w:r>
          </w:p>
        </w:tc>
        <w:tc>
          <w:tcPr>
            <w:tcW w:w="903" w:type="dxa"/>
            <w:shd w:val="clear" w:color="auto" w:fill="auto"/>
          </w:tcPr>
          <w:p w14:paraId="31171AC3" w14:textId="75830DEB" w:rsidR="006926B5" w:rsidRPr="003E4B6E" w:rsidRDefault="006926B5" w:rsidP="003F3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5E6A6AE7" w14:textId="77777777" w:rsidR="006926B5" w:rsidRPr="003E4B6E" w:rsidRDefault="006926B5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14:paraId="3394055F" w14:textId="77777777" w:rsidR="006926B5" w:rsidRPr="003E4B6E" w:rsidRDefault="006926B5" w:rsidP="00722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08999638" w14:textId="77777777" w:rsidTr="003D45AE">
        <w:tc>
          <w:tcPr>
            <w:tcW w:w="3256" w:type="dxa"/>
            <w:shd w:val="clear" w:color="auto" w:fill="auto"/>
          </w:tcPr>
          <w:p w14:paraId="12380510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0A270497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15E7DD2A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Kopā EUR bez PVN</w:t>
            </w:r>
          </w:p>
        </w:tc>
        <w:tc>
          <w:tcPr>
            <w:tcW w:w="3090" w:type="dxa"/>
            <w:shd w:val="clear" w:color="auto" w:fill="auto"/>
          </w:tcPr>
          <w:p w14:paraId="7B1C5298" w14:textId="77777777" w:rsidR="003F3D17" w:rsidRPr="003E4B6E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7DEC775E" w14:textId="77777777" w:rsidTr="003D45AE">
        <w:tc>
          <w:tcPr>
            <w:tcW w:w="3256" w:type="dxa"/>
            <w:shd w:val="clear" w:color="auto" w:fill="auto"/>
          </w:tcPr>
          <w:p w14:paraId="0724A5B5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23F5CF8C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2827E994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3090" w:type="dxa"/>
            <w:shd w:val="clear" w:color="auto" w:fill="auto"/>
          </w:tcPr>
          <w:p w14:paraId="1E38A3B1" w14:textId="77777777" w:rsidR="003F3D17" w:rsidRPr="003E4B6E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D17" w:rsidRPr="003E4B6E" w14:paraId="1A5A8B73" w14:textId="77777777" w:rsidTr="003D45AE">
        <w:tc>
          <w:tcPr>
            <w:tcW w:w="3256" w:type="dxa"/>
            <w:shd w:val="clear" w:color="auto" w:fill="auto"/>
          </w:tcPr>
          <w:p w14:paraId="73AC4895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33696AA6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</w:tcPr>
          <w:p w14:paraId="6E2D3925" w14:textId="77777777" w:rsidR="003F3D17" w:rsidRPr="003E4B6E" w:rsidRDefault="003F3D17" w:rsidP="003F3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Calibri" w:hAnsi="Times New Roman" w:cs="Times New Roman"/>
                <w:sz w:val="24"/>
                <w:szCs w:val="24"/>
              </w:rPr>
              <w:t>Kopā EUR ar PVN</w:t>
            </w:r>
          </w:p>
        </w:tc>
        <w:tc>
          <w:tcPr>
            <w:tcW w:w="3090" w:type="dxa"/>
            <w:shd w:val="clear" w:color="auto" w:fill="auto"/>
          </w:tcPr>
          <w:p w14:paraId="57F62E49" w14:textId="77777777" w:rsidR="003F3D17" w:rsidRPr="003E4B6E" w:rsidRDefault="003F3D17" w:rsidP="003F3D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A487F5" w14:textId="77777777" w:rsidR="003F3D17" w:rsidRPr="003E4B6E" w:rsidRDefault="003F3D17" w:rsidP="003F3D17">
      <w:pPr>
        <w:tabs>
          <w:tab w:val="left" w:pos="9072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0078EE" w14:textId="77777777" w:rsidR="003F3D17" w:rsidRPr="003E4B6E" w:rsidRDefault="003F3D17" w:rsidP="003F3D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02"/>
        <w:gridCol w:w="1023"/>
        <w:gridCol w:w="2328"/>
      </w:tblGrid>
      <w:tr w:rsidR="003E4B6E" w:rsidRPr="003E4B6E" w14:paraId="3C58A06B" w14:textId="77777777" w:rsidTr="00B53EBD">
        <w:tc>
          <w:tcPr>
            <w:tcW w:w="9344" w:type="dxa"/>
            <w:gridSpan w:val="4"/>
            <w:shd w:val="clear" w:color="auto" w:fill="auto"/>
          </w:tcPr>
          <w:p w14:paraId="122BFB69" w14:textId="77777777" w:rsidR="00352566" w:rsidRPr="003E4B6E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3E4B6E" w:rsidRPr="003E4B6E" w14:paraId="40091193" w14:textId="77777777" w:rsidTr="00B53EBD">
        <w:tc>
          <w:tcPr>
            <w:tcW w:w="2791" w:type="dxa"/>
            <w:shd w:val="clear" w:color="auto" w:fill="auto"/>
          </w:tcPr>
          <w:p w14:paraId="2F0F0855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6EBF6816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37E8B97B" w14:textId="77777777" w:rsidTr="00B53EBD">
        <w:tc>
          <w:tcPr>
            <w:tcW w:w="2791" w:type="dxa"/>
            <w:shd w:val="clear" w:color="auto" w:fill="auto"/>
          </w:tcPr>
          <w:p w14:paraId="36F3F85D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488BD7F5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4F425BCC" w14:textId="77777777" w:rsidTr="00B53EBD">
        <w:tc>
          <w:tcPr>
            <w:tcW w:w="2791" w:type="dxa"/>
            <w:shd w:val="clear" w:color="auto" w:fill="auto"/>
          </w:tcPr>
          <w:p w14:paraId="7620779A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6993991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18703CA8" w14:textId="77777777" w:rsidTr="00B53EBD">
        <w:tc>
          <w:tcPr>
            <w:tcW w:w="2791" w:type="dxa"/>
            <w:shd w:val="clear" w:color="auto" w:fill="auto"/>
          </w:tcPr>
          <w:p w14:paraId="3FC87F12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09BFA6D7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76629BD2" w14:textId="77777777" w:rsidTr="00B53EBD">
        <w:tc>
          <w:tcPr>
            <w:tcW w:w="2791" w:type="dxa"/>
            <w:shd w:val="clear" w:color="auto" w:fill="auto"/>
          </w:tcPr>
          <w:p w14:paraId="24D3B580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68E6B961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1A4D7E22" w14:textId="77777777" w:rsidTr="00B53EBD">
        <w:tc>
          <w:tcPr>
            <w:tcW w:w="2791" w:type="dxa"/>
            <w:shd w:val="clear" w:color="auto" w:fill="auto"/>
          </w:tcPr>
          <w:p w14:paraId="4000C279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831671B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30027DB4" w14:textId="77777777" w:rsidTr="00B53EBD">
        <w:tc>
          <w:tcPr>
            <w:tcW w:w="2791" w:type="dxa"/>
            <w:shd w:val="clear" w:color="auto" w:fill="auto"/>
          </w:tcPr>
          <w:p w14:paraId="29EC93A1" w14:textId="77777777" w:rsidR="00352566" w:rsidRPr="003E4B6E" w:rsidRDefault="00352566" w:rsidP="005F08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profila adrese internetā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3E84095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2CBAB981" w14:textId="77777777" w:rsidTr="00B53EBD">
        <w:tc>
          <w:tcPr>
            <w:tcW w:w="9344" w:type="dxa"/>
            <w:gridSpan w:val="4"/>
            <w:shd w:val="clear" w:color="auto" w:fill="auto"/>
          </w:tcPr>
          <w:p w14:paraId="6A9D39AE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3ACBD9DC" w14:textId="77777777" w:rsidTr="00B53EBD">
        <w:tc>
          <w:tcPr>
            <w:tcW w:w="9344" w:type="dxa"/>
            <w:gridSpan w:val="4"/>
            <w:shd w:val="clear" w:color="auto" w:fill="auto"/>
          </w:tcPr>
          <w:p w14:paraId="126B55EB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rekvizīti</w:t>
            </w:r>
          </w:p>
        </w:tc>
      </w:tr>
      <w:tr w:rsidR="003E4B6E" w:rsidRPr="003E4B6E" w14:paraId="4C0354C1" w14:textId="77777777" w:rsidTr="00B53EBD">
        <w:tc>
          <w:tcPr>
            <w:tcW w:w="2791" w:type="dxa"/>
            <w:shd w:val="clear" w:color="auto" w:fill="auto"/>
          </w:tcPr>
          <w:p w14:paraId="39719D52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6AD28CE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3B3F9D52" w14:textId="77777777" w:rsidTr="00B53EBD">
        <w:tc>
          <w:tcPr>
            <w:tcW w:w="2791" w:type="dxa"/>
            <w:shd w:val="clear" w:color="auto" w:fill="auto"/>
          </w:tcPr>
          <w:p w14:paraId="36D75BDC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7EEBE866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0C4B128A" w14:textId="77777777" w:rsidTr="00B53EBD">
        <w:tc>
          <w:tcPr>
            <w:tcW w:w="2791" w:type="dxa"/>
            <w:shd w:val="clear" w:color="auto" w:fill="auto"/>
          </w:tcPr>
          <w:p w14:paraId="12832DD4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4D81EC17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6B0DFB0A" w14:textId="77777777" w:rsidTr="00B53EBD">
        <w:tc>
          <w:tcPr>
            <w:tcW w:w="9344" w:type="dxa"/>
            <w:gridSpan w:val="4"/>
            <w:shd w:val="clear" w:color="auto" w:fill="auto"/>
          </w:tcPr>
          <w:p w14:paraId="3712E5FD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3BD63697" w14:textId="77777777" w:rsidTr="00B53EBD">
        <w:tc>
          <w:tcPr>
            <w:tcW w:w="9344" w:type="dxa"/>
            <w:gridSpan w:val="4"/>
            <w:shd w:val="clear" w:color="auto" w:fill="auto"/>
          </w:tcPr>
          <w:p w14:paraId="1264B090" w14:textId="77777777" w:rsidR="00352566" w:rsidRPr="003E4B6E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pretendenta kontaktpersonu (atbildīgo personu)</w:t>
            </w:r>
          </w:p>
        </w:tc>
      </w:tr>
      <w:tr w:rsidR="003E4B6E" w:rsidRPr="003E4B6E" w14:paraId="1BAB1F4E" w14:textId="77777777" w:rsidTr="00B53EBD">
        <w:tc>
          <w:tcPr>
            <w:tcW w:w="2791" w:type="dxa"/>
            <w:shd w:val="clear" w:color="auto" w:fill="auto"/>
          </w:tcPr>
          <w:p w14:paraId="23F91420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2585DE3A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53B89880" w14:textId="77777777" w:rsidTr="00B53EBD">
        <w:tc>
          <w:tcPr>
            <w:tcW w:w="2791" w:type="dxa"/>
            <w:shd w:val="clear" w:color="auto" w:fill="auto"/>
          </w:tcPr>
          <w:p w14:paraId="0EDCAAB6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428DC482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B6E" w:rsidRPr="003E4B6E" w14:paraId="0EF9965D" w14:textId="77777777" w:rsidTr="00B53EBD">
        <w:tc>
          <w:tcPr>
            <w:tcW w:w="2791" w:type="dxa"/>
            <w:shd w:val="clear" w:color="auto" w:fill="auto"/>
          </w:tcPr>
          <w:p w14:paraId="6BBF4834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3202" w:type="dxa"/>
            <w:shd w:val="clear" w:color="auto" w:fill="auto"/>
          </w:tcPr>
          <w:p w14:paraId="2441EDB3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1048BAC8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328" w:type="dxa"/>
            <w:shd w:val="clear" w:color="auto" w:fill="auto"/>
          </w:tcPr>
          <w:p w14:paraId="51323A76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566" w:rsidRPr="003E4B6E" w14:paraId="61CF7D60" w14:textId="77777777" w:rsidTr="00B53EBD">
        <w:tc>
          <w:tcPr>
            <w:tcW w:w="2791" w:type="dxa"/>
            <w:shd w:val="clear" w:color="auto" w:fill="auto"/>
          </w:tcPr>
          <w:p w14:paraId="180A2AEE" w14:textId="77777777" w:rsidR="00352566" w:rsidRPr="003E4B6E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B6E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553" w:type="dxa"/>
            <w:gridSpan w:val="3"/>
            <w:shd w:val="clear" w:color="auto" w:fill="auto"/>
          </w:tcPr>
          <w:p w14:paraId="591DA854" w14:textId="77777777" w:rsidR="00352566" w:rsidRPr="003E4B6E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9A410" w14:textId="77777777" w:rsidR="00352566" w:rsidRPr="003E4B6E" w:rsidRDefault="00352566" w:rsidP="003525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E7F1FF" w14:textId="77777777" w:rsidR="00352566" w:rsidRPr="003E4B6E" w:rsidRDefault="00352566" w:rsidP="00352566">
      <w:pPr>
        <w:spacing w:after="0" w:line="276" w:lineRule="auto"/>
        <w:ind w:right="5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B6E">
        <w:rPr>
          <w:rFonts w:ascii="Times New Roman" w:eastAsia="Calibri" w:hAnsi="Times New Roman" w:cs="Times New Roman"/>
          <w:sz w:val="24"/>
          <w:szCs w:val="24"/>
        </w:rPr>
        <w:t>Nodrošinu visas Tehniskajā specifikācijā-Finanšu piedāvājumā izvirzītās prasības:</w:t>
      </w:r>
      <w:r w:rsidRPr="003E4B6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</w:t>
      </w:r>
    </w:p>
    <w:p w14:paraId="293BAAF7" w14:textId="77777777" w:rsidR="00352566" w:rsidRPr="003E4B6E" w:rsidRDefault="00352566" w:rsidP="003525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E4B6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p w14:paraId="711A8BB6" w14:textId="77777777" w:rsidR="00352566" w:rsidRPr="003E4B6E" w:rsidRDefault="00B53EBD" w:rsidP="003C5C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E4B6E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4BB64397" wp14:editId="2A4BCC00">
            <wp:simplePos x="0" y="0"/>
            <wp:positionH relativeFrom="column">
              <wp:posOffset>-394335</wp:posOffset>
            </wp:positionH>
            <wp:positionV relativeFrom="paragraph">
              <wp:posOffset>505460</wp:posOffset>
            </wp:positionV>
            <wp:extent cx="2573020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2566" w:rsidRPr="003E4B6E" w:rsidSect="003F3D17">
      <w:footerReference w:type="default" r:id="rId13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E0F7" w14:textId="77777777" w:rsidR="004F30C0" w:rsidRDefault="004F30C0" w:rsidP="002A298C">
      <w:pPr>
        <w:spacing w:after="0" w:line="240" w:lineRule="auto"/>
      </w:pPr>
      <w:r>
        <w:separator/>
      </w:r>
    </w:p>
  </w:endnote>
  <w:endnote w:type="continuationSeparator" w:id="0">
    <w:p w14:paraId="723A6158" w14:textId="77777777" w:rsidR="004F30C0" w:rsidRDefault="004F30C0" w:rsidP="002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410709"/>
      <w:docPartObj>
        <w:docPartGallery w:val="Page Numbers (Bottom of Page)"/>
        <w:docPartUnique/>
      </w:docPartObj>
    </w:sdtPr>
    <w:sdtEndPr/>
    <w:sdtContent>
      <w:p w14:paraId="1369BEC2" w14:textId="77777777" w:rsidR="002A298C" w:rsidRDefault="002A298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26">
          <w:rPr>
            <w:noProof/>
          </w:rPr>
          <w:t>4</w:t>
        </w:r>
        <w:r>
          <w:fldChar w:fldCharType="end"/>
        </w:r>
      </w:p>
    </w:sdtContent>
  </w:sdt>
  <w:p w14:paraId="5AC7D551" w14:textId="77777777" w:rsidR="002A298C" w:rsidRDefault="002A2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156" w14:textId="77777777" w:rsidR="004F30C0" w:rsidRDefault="004F30C0" w:rsidP="002A298C">
      <w:pPr>
        <w:spacing w:after="0" w:line="240" w:lineRule="auto"/>
      </w:pPr>
      <w:r>
        <w:separator/>
      </w:r>
    </w:p>
  </w:footnote>
  <w:footnote w:type="continuationSeparator" w:id="0">
    <w:p w14:paraId="127CCC0F" w14:textId="77777777" w:rsidR="004F30C0" w:rsidRDefault="004F30C0" w:rsidP="002A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4662B4EE"/>
    <w:lvl w:ilvl="0" w:tplc="95BE3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" w15:restartNumberingAfterBreak="0">
    <w:nsid w:val="2CA61934"/>
    <w:multiLevelType w:val="hybridMultilevel"/>
    <w:tmpl w:val="5C409B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352C3"/>
    <w:multiLevelType w:val="hybridMultilevel"/>
    <w:tmpl w:val="9F6EE54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358D"/>
    <w:multiLevelType w:val="hybridMultilevel"/>
    <w:tmpl w:val="5EDC9DD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19"/>
    <w:rsid w:val="00001817"/>
    <w:rsid w:val="0002183E"/>
    <w:rsid w:val="00073620"/>
    <w:rsid w:val="0008091D"/>
    <w:rsid w:val="000A1A49"/>
    <w:rsid w:val="000B0708"/>
    <w:rsid w:val="000C715B"/>
    <w:rsid w:val="000D12FC"/>
    <w:rsid w:val="000D77EE"/>
    <w:rsid w:val="001661A2"/>
    <w:rsid w:val="001A2B34"/>
    <w:rsid w:val="001A670A"/>
    <w:rsid w:val="001C6075"/>
    <w:rsid w:val="001F20AF"/>
    <w:rsid w:val="0021797A"/>
    <w:rsid w:val="00225888"/>
    <w:rsid w:val="002451C4"/>
    <w:rsid w:val="00262E20"/>
    <w:rsid w:val="002676EE"/>
    <w:rsid w:val="002902BB"/>
    <w:rsid w:val="002A298C"/>
    <w:rsid w:val="002C1097"/>
    <w:rsid w:val="002E5A33"/>
    <w:rsid w:val="002F6D67"/>
    <w:rsid w:val="0030575B"/>
    <w:rsid w:val="00350419"/>
    <w:rsid w:val="00352566"/>
    <w:rsid w:val="00360F69"/>
    <w:rsid w:val="00390597"/>
    <w:rsid w:val="003C5C5E"/>
    <w:rsid w:val="003E4266"/>
    <w:rsid w:val="003E4B6E"/>
    <w:rsid w:val="003F090B"/>
    <w:rsid w:val="003F3D17"/>
    <w:rsid w:val="003F7132"/>
    <w:rsid w:val="004139ED"/>
    <w:rsid w:val="00441D8A"/>
    <w:rsid w:val="0047370F"/>
    <w:rsid w:val="00493802"/>
    <w:rsid w:val="004F30C0"/>
    <w:rsid w:val="00535441"/>
    <w:rsid w:val="0055602C"/>
    <w:rsid w:val="00583DED"/>
    <w:rsid w:val="00587AC7"/>
    <w:rsid w:val="0059434F"/>
    <w:rsid w:val="005A5812"/>
    <w:rsid w:val="005C12C9"/>
    <w:rsid w:val="00606784"/>
    <w:rsid w:val="00620C71"/>
    <w:rsid w:val="0064150B"/>
    <w:rsid w:val="006519D7"/>
    <w:rsid w:val="006926B5"/>
    <w:rsid w:val="00694BC7"/>
    <w:rsid w:val="00697395"/>
    <w:rsid w:val="006A65C7"/>
    <w:rsid w:val="006A73E8"/>
    <w:rsid w:val="006A79A6"/>
    <w:rsid w:val="006D7A2A"/>
    <w:rsid w:val="006D7D1D"/>
    <w:rsid w:val="006E2F64"/>
    <w:rsid w:val="006F0297"/>
    <w:rsid w:val="006F4201"/>
    <w:rsid w:val="007118AC"/>
    <w:rsid w:val="0072267E"/>
    <w:rsid w:val="00725449"/>
    <w:rsid w:val="0073427A"/>
    <w:rsid w:val="007412EF"/>
    <w:rsid w:val="0074238B"/>
    <w:rsid w:val="00753796"/>
    <w:rsid w:val="00763914"/>
    <w:rsid w:val="00773811"/>
    <w:rsid w:val="00796AE8"/>
    <w:rsid w:val="007D7411"/>
    <w:rsid w:val="007D7598"/>
    <w:rsid w:val="007F70C1"/>
    <w:rsid w:val="00807286"/>
    <w:rsid w:val="00812FBE"/>
    <w:rsid w:val="00864663"/>
    <w:rsid w:val="008717FF"/>
    <w:rsid w:val="00884257"/>
    <w:rsid w:val="00887D36"/>
    <w:rsid w:val="008B0C0A"/>
    <w:rsid w:val="008C2226"/>
    <w:rsid w:val="008C5AB0"/>
    <w:rsid w:val="008E2DCE"/>
    <w:rsid w:val="00902BF6"/>
    <w:rsid w:val="00922604"/>
    <w:rsid w:val="009416B5"/>
    <w:rsid w:val="00952154"/>
    <w:rsid w:val="0097093D"/>
    <w:rsid w:val="00A1370A"/>
    <w:rsid w:val="00A60870"/>
    <w:rsid w:val="00A774D9"/>
    <w:rsid w:val="00A921E9"/>
    <w:rsid w:val="00AC23D7"/>
    <w:rsid w:val="00B06FE5"/>
    <w:rsid w:val="00B107EC"/>
    <w:rsid w:val="00B51D78"/>
    <w:rsid w:val="00B53EBD"/>
    <w:rsid w:val="00B85485"/>
    <w:rsid w:val="00B85663"/>
    <w:rsid w:val="00BA0E5E"/>
    <w:rsid w:val="00BB18CC"/>
    <w:rsid w:val="00C059AD"/>
    <w:rsid w:val="00C07126"/>
    <w:rsid w:val="00C072E1"/>
    <w:rsid w:val="00C07526"/>
    <w:rsid w:val="00C35F48"/>
    <w:rsid w:val="00C47B9B"/>
    <w:rsid w:val="00C6798C"/>
    <w:rsid w:val="00CF4B18"/>
    <w:rsid w:val="00CF540A"/>
    <w:rsid w:val="00D2026A"/>
    <w:rsid w:val="00D26096"/>
    <w:rsid w:val="00D474D6"/>
    <w:rsid w:val="00D767B1"/>
    <w:rsid w:val="00D8690C"/>
    <w:rsid w:val="00D91171"/>
    <w:rsid w:val="00DB005D"/>
    <w:rsid w:val="00DB2EA1"/>
    <w:rsid w:val="00DC5EFD"/>
    <w:rsid w:val="00E45FF3"/>
    <w:rsid w:val="00E575FC"/>
    <w:rsid w:val="00E60763"/>
    <w:rsid w:val="00E60850"/>
    <w:rsid w:val="00E97186"/>
    <w:rsid w:val="00E97380"/>
    <w:rsid w:val="00EA3466"/>
    <w:rsid w:val="00EB5BBB"/>
    <w:rsid w:val="00ED0A0D"/>
    <w:rsid w:val="00F16C10"/>
    <w:rsid w:val="00F16D86"/>
    <w:rsid w:val="00F30564"/>
    <w:rsid w:val="00F366A4"/>
    <w:rsid w:val="00FA1B9D"/>
    <w:rsid w:val="00FA4A26"/>
    <w:rsid w:val="00FB64F6"/>
    <w:rsid w:val="00FC1BAD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2607"/>
  <w15:chartTrackingRefBased/>
  <w15:docId w15:val="{CCDB5464-8C6A-4E5B-9210-F79640B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A2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8C"/>
  </w:style>
  <w:style w:type="paragraph" w:styleId="Footer">
    <w:name w:val="footer"/>
    <w:basedOn w:val="Normal"/>
    <w:link w:val="FooterChar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8C"/>
  </w:style>
  <w:style w:type="paragraph" w:styleId="BalloonText">
    <w:name w:val="Balloon Text"/>
    <w:basedOn w:val="Normal"/>
    <w:link w:val="BalloonTextChar"/>
    <w:uiPriority w:val="99"/>
    <w:semiHidden/>
    <w:unhideWhenUsed/>
    <w:rsid w:val="00EA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6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4A26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OC1">
    <w:name w:val="toc 1"/>
    <w:basedOn w:val="Normal"/>
    <w:next w:val="Normal"/>
    <w:autoRedefine/>
    <w:rsid w:val="00FA4A26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en-GB"/>
    </w:rPr>
  </w:style>
  <w:style w:type="paragraph" w:customStyle="1" w:styleId="Style2">
    <w:name w:val="Style2"/>
    <w:basedOn w:val="Normal"/>
    <w:autoRedefine/>
    <w:rsid w:val="00FA4A26"/>
    <w:pPr>
      <w:spacing w:after="0" w:line="240" w:lineRule="auto"/>
      <w:jc w:val="both"/>
    </w:pPr>
    <w:rPr>
      <w:rFonts w:ascii="Times New Roman" w:eastAsia="Times New Roman" w:hAnsi="Times New Roman" w:cs="Times New Roman"/>
      <w:bCs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4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73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a.slavinska@vugd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ta.slavinska@vug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2F09-85B3-450A-B951-5CBD3CA8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3731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Irita Slavinska</cp:lastModifiedBy>
  <cp:revision>26</cp:revision>
  <dcterms:created xsi:type="dcterms:W3CDTF">2024-10-22T12:47:00Z</dcterms:created>
  <dcterms:modified xsi:type="dcterms:W3CDTF">2025-06-06T07:52:00Z</dcterms:modified>
</cp:coreProperties>
</file>